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0"/>
        <w:spacing w:line="360" w:lineRule="auto"/>
        <w:rPr>
          <w:rStyle w:val="810"/>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pStyle w:val="840"/>
        <w:spacing w:line="360" w:lineRule="auto"/>
        <w:rPr>
          <w:rStyle w:val="810"/>
          <w:rFonts w:hint="eastAsia" w:ascii="宋体" w:hAnsi="宋体" w:eastAsia="宋体" w:cs="宋体"/>
          <w:color w:val="auto"/>
          <w:sz w:val="72"/>
          <w:szCs w:val="72"/>
          <w:highlight w:val="none"/>
        </w:rPr>
      </w:pPr>
      <w:r>
        <w:rPr>
          <w:rStyle w:val="810"/>
          <w:rFonts w:hint="eastAsia" w:ascii="宋体" w:hAnsi="宋体" w:eastAsia="宋体" w:cs="宋体"/>
          <w:color w:val="auto"/>
          <w:sz w:val="72"/>
          <w:szCs w:val="72"/>
          <w:highlight w:val="none"/>
        </w:rPr>
        <w:t xml:space="preserve">苏州</w:t>
      </w:r>
      <w:r>
        <w:rPr>
          <w:rStyle w:val="810"/>
          <w:rFonts w:hint="eastAsia" w:ascii="宋体" w:hAnsi="宋体" w:eastAsia="宋体" w:cs="宋体"/>
          <w:color w:val="auto"/>
          <w:sz w:val="72"/>
          <w:szCs w:val="72"/>
          <w:highlight w:val="none"/>
          <w:lang w:val="en-US"/>
        </w:rPr>
        <w:t xml:space="preserve">高新</w:t>
      </w:r>
      <w:r>
        <w:rPr>
          <w:rStyle w:val="810"/>
          <w:rFonts w:hint="eastAsia" w:ascii="宋体" w:hAnsi="宋体" w:eastAsia="宋体" w:cs="宋体"/>
          <w:color w:val="auto"/>
          <w:sz w:val="72"/>
          <w:szCs w:val="72"/>
          <w:highlight w:val="none"/>
        </w:rPr>
        <w:t xml:space="preserve">区政府采购</w:t>
      </w:r>
      <w:r/>
    </w:p>
    <w:p>
      <w:pPr>
        <w:pStyle w:val="840"/>
        <w:spacing w:line="360" w:lineRule="auto"/>
        <w:rPr>
          <w:rStyle w:val="810"/>
          <w:rFonts w:hint="eastAsia" w:ascii="宋体" w:hAnsi="宋体" w:eastAsia="宋体" w:cs="宋体"/>
          <w:color w:val="auto"/>
          <w:sz w:val="72"/>
          <w:szCs w:val="72"/>
          <w:highlight w:val="none"/>
        </w:rPr>
      </w:pPr>
      <w:r>
        <w:rPr>
          <w:rStyle w:val="810"/>
          <w:rFonts w:hint="eastAsia" w:ascii="宋体" w:hAnsi="宋体" w:eastAsia="宋体" w:cs="宋体"/>
          <w:color w:val="auto"/>
          <w:sz w:val="72"/>
          <w:szCs w:val="72"/>
          <w:highlight w:val="none"/>
        </w:rPr>
        <w:t xml:space="preserve">竞争性磋商采购文件</w:t>
      </w:r>
      <w:r/>
    </w:p>
    <w:p>
      <w:pPr>
        <w:pStyle w:val="8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0"/>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6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80"/>
        <w:gridCol w:w="6087"/>
      </w:tblGrid>
      <w:tr>
        <w:trPr>
          <w:jc w:val="center"/>
          <w:trHeight w:val="964"/>
        </w:trPr>
        <w:tc>
          <w:tcPr>
            <w:tcW w:w="1980" w:type="dxa"/>
            <w:vAlign w:val="center"/>
            <w:textDirection w:val="lrTb"/>
            <w:noWrap w:val="false"/>
          </w:tcPr>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项目编号：</w:t>
            </w:r>
            <w:r/>
          </w:p>
        </w:tc>
        <w:tc>
          <w:tcPr>
            <w:tcW w:w="6087" w:type="dxa"/>
            <w:vAlign w:val="center"/>
            <w:textDirection w:val="lrTb"/>
            <w:noWrap w:val="false"/>
          </w:tcPr>
          <w:p>
            <w:pPr>
              <w:jc w:val="left"/>
              <w:rPr>
                <w:rFonts w:hint="eastAsia" w:ascii="宋体" w:hAnsi="宋体" w:eastAsia="宋体" w:cs="宋体"/>
                <w:b/>
                <w:bCs/>
                <w:color w:val="auto"/>
                <w:sz w:val="32"/>
                <w:szCs w:val="32"/>
                <w:highlight w:val="none"/>
                <w:lang w:eastAsia="zh-CN"/>
              </w:rPr>
            </w:pPr>
            <w:r>
              <w:rPr>
                <w:rFonts w:hint="eastAsia" w:ascii="宋体" w:hAnsi="宋体" w:cs="宋体"/>
                <w:b/>
                <w:color w:val="auto"/>
                <w:sz w:val="32"/>
                <w:highlight w:val="none"/>
                <w:lang w:eastAsia="zh-CN"/>
              </w:rPr>
              <w:t xml:space="preserve">JSZC-320505-HXGW-C2026-0018</w:t>
            </w:r>
            <w:r/>
          </w:p>
        </w:tc>
      </w:tr>
      <w:tr>
        <w:trPr>
          <w:jc w:val="center"/>
          <w:trHeight w:val="964"/>
        </w:trPr>
        <w:tc>
          <w:tcPr>
            <w:tcW w:w="1980" w:type="dxa"/>
            <w:vAlign w:val="center"/>
            <w:textDirection w:val="lrTb"/>
            <w:noWrap w:val="false"/>
          </w:tcPr>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项目名称：</w:t>
            </w:r>
            <w:r/>
          </w:p>
        </w:tc>
        <w:tc>
          <w:tcPr>
            <w:tcW w:w="6087" w:type="dxa"/>
            <w:vAlign w:val="center"/>
            <w:textDirection w:val="lrTb"/>
            <w:noWrap w:val="false"/>
          </w:tcPr>
          <w:p>
            <w:pPr>
              <w:jc w:val="left"/>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镇湖安置房1-5期泛光照明维修工程</w:t>
            </w:r>
            <w:r/>
          </w:p>
        </w:tc>
      </w:tr>
      <w:tr>
        <w:trPr>
          <w:jc w:val="center"/>
          <w:trHeight w:val="964"/>
        </w:trPr>
        <w:tc>
          <w:tcPr>
            <w:tcW w:w="1980" w:type="dxa"/>
            <w:vAlign w:val="center"/>
            <w:textDirection w:val="lrTb"/>
            <w:noWrap w:val="false"/>
          </w:tcPr>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采购单位：</w:t>
            </w:r>
            <w:r/>
          </w:p>
        </w:tc>
        <w:tc>
          <w:tcPr>
            <w:tcW w:w="6087" w:type="dxa"/>
            <w:vAlign w:val="center"/>
            <w:textDirection w:val="lrTb"/>
            <w:noWrap w:val="false"/>
          </w:tcPr>
          <w:p>
            <w:pPr>
              <w:jc w:val="left"/>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苏州国家高新技术产业开发区镇湖街道办事处</w:t>
            </w:r>
            <w:r/>
          </w:p>
        </w:tc>
      </w:tr>
      <w:tr>
        <w:trPr>
          <w:jc w:val="center"/>
          <w:trHeight w:val="964"/>
        </w:trPr>
        <w:tc>
          <w:tcPr>
            <w:tcW w:w="1980" w:type="dxa"/>
            <w:vAlign w:val="center"/>
            <w:textDirection w:val="lrTb"/>
            <w:noWrap w:val="false"/>
          </w:tcPr>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项目类别：</w:t>
            </w:r>
            <w:r/>
          </w:p>
        </w:tc>
        <w:tc>
          <w:tcPr>
            <w:tcW w:w="6087" w:type="dxa"/>
            <w:vAlign w:val="center"/>
            <w:textDirection w:val="lrTb"/>
            <w:noWrap w:val="false"/>
          </w:tcPr>
          <w:p>
            <w:pPr>
              <w:jc w:val="lef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小额工程</w:t>
            </w:r>
            <w:r/>
          </w:p>
        </w:tc>
      </w:tr>
    </w:tbl>
    <w:p>
      <w:pPr>
        <w:pStyle w:val="840"/>
        <w:rPr>
          <w:rStyle w:val="810"/>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pStyle w:val="840"/>
        <w:ind w:firstLine="1355"/>
        <w:jc w:val="left"/>
        <w:spacing w:line="360" w:lineRule="auto"/>
        <w:rPr>
          <w:rStyle w:val="810"/>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40"/>
        <w:spacing w:line="360" w:lineRule="auto"/>
        <w:rPr>
          <w:rStyle w:val="810"/>
          <w:rFonts w:hint="eastAsia" w:ascii="宋体" w:hAnsi="宋体" w:eastAsia="宋体" w:cs="宋体"/>
          <w:color w:val="auto"/>
          <w:sz w:val="30"/>
          <w:szCs w:val="30"/>
          <w:highlight w:val="none"/>
        </w:rPr>
      </w:pPr>
      <w:r>
        <w:rPr>
          <w:rStyle w:val="810"/>
          <w:rFonts w:hint="eastAsia" w:ascii="宋体" w:hAnsi="宋体" w:eastAsia="宋体" w:cs="宋体"/>
          <w:color w:val="auto"/>
          <w:sz w:val="30"/>
          <w:szCs w:val="30"/>
          <w:highlight w:val="none"/>
        </w:rPr>
        <w:t xml:space="preserve">涵熙（苏州）工程顾问有限公司</w:t>
      </w:r>
      <w:r/>
    </w:p>
    <w:p>
      <w:pPr>
        <w:pStyle w:val="840"/>
        <w:rPr>
          <w:rStyle w:val="810"/>
          <w:rFonts w:hint="eastAsia" w:ascii="宋体" w:hAnsi="宋体" w:eastAsia="宋体" w:cs="宋体"/>
          <w:color w:val="auto"/>
          <w:highlight w:val="none"/>
        </w:rPr>
      </w:pPr>
      <w:r>
        <w:rPr>
          <w:rStyle w:val="810"/>
          <w:rFonts w:hint="eastAsia" w:ascii="宋体" w:hAnsi="宋体" w:eastAsia="宋体" w:cs="宋体"/>
          <w:color w:val="auto"/>
          <w:sz w:val="30"/>
          <w:szCs w:val="30"/>
          <w:highlight w:val="none"/>
        </w:rPr>
        <w:t xml:space="preserve">二〇二</w:t>
      </w:r>
      <w:r>
        <w:rPr>
          <w:rStyle w:val="810"/>
          <w:rFonts w:hint="eastAsia" w:ascii="宋体" w:hAnsi="宋体" w:eastAsia="宋体" w:cs="宋体"/>
          <w:color w:val="auto"/>
          <w:sz w:val="30"/>
          <w:szCs w:val="30"/>
          <w:highlight w:val="none"/>
          <w:lang w:val="en-US"/>
        </w:rPr>
        <w:t xml:space="preserve">六</w:t>
      </w:r>
      <w:r>
        <w:rPr>
          <w:rStyle w:val="810"/>
          <w:rFonts w:hint="eastAsia" w:ascii="宋体" w:hAnsi="宋体" w:eastAsia="宋体" w:cs="宋体"/>
          <w:color w:val="auto"/>
          <w:sz w:val="30"/>
          <w:szCs w:val="30"/>
          <w:highlight w:val="none"/>
        </w:rPr>
        <w:t xml:space="preserve">年</w:t>
      </w:r>
      <w:r>
        <w:rPr>
          <w:rStyle w:val="810"/>
          <w:rFonts w:hint="eastAsia" w:ascii="宋体" w:hAnsi="宋体" w:cs="宋体"/>
          <w:color w:val="auto"/>
          <w:sz w:val="30"/>
          <w:szCs w:val="30"/>
          <w:highlight w:val="none"/>
          <w:lang w:val="en-US"/>
        </w:rPr>
        <w:t xml:space="preserve">五</w:t>
      </w:r>
      <w:r>
        <w:rPr>
          <w:rStyle w:val="810"/>
          <w:rFonts w:hint="eastAsia" w:ascii="宋体" w:hAnsi="宋体" w:eastAsia="宋体" w:cs="宋体"/>
          <w:color w:val="auto"/>
          <w:sz w:val="30"/>
          <w:szCs w:val="30"/>
          <w:highlight w:val="none"/>
        </w:rPr>
        <w:t xml:space="preserve">月</w:t>
      </w:r>
      <w:r/>
    </w:p>
    <w:p>
      <w:pPr>
        <w:jc w:val="center"/>
        <w:spacing w:line="360" w:lineRule="auto"/>
        <w:rPr>
          <w:rFonts w:hint="eastAsia" w:ascii="宋体" w:hAnsi="宋体" w:eastAsia="宋体" w:cs="宋体"/>
          <w:color w:val="auto"/>
          <w:sz w:val="36"/>
          <w:szCs w:val="36"/>
          <w:highlight w:val="none"/>
          <w:u w:val="single"/>
        </w:rPr>
      </w:pPr>
      <w:r>
        <w:rPr>
          <w:rFonts w:hint="eastAsia" w:ascii="宋体" w:hAnsi="宋体" w:eastAsia="宋体" w:cs="宋体"/>
          <w:color w:val="auto"/>
          <w:sz w:val="36"/>
          <w:szCs w:val="36"/>
          <w:highlight w:val="none"/>
          <w:u w:val="singl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tabs>
          <w:tab w:val="left" w:pos="315" w:leader="none"/>
          <w:tab w:val="center" w:pos="4153" w:leader="none"/>
        </w:tabs>
        <w:rPr>
          <w:rFonts w:hint="eastAsia" w:ascii="宋体" w:hAnsi="宋体" w:eastAsia="宋体" w:cs="宋体"/>
          <w:b/>
          <w:color w:val="auto"/>
          <w:sz w:val="52"/>
          <w:szCs w:val="52"/>
          <w:highlight w:val="none"/>
        </w:rPr>
        <w:sectPr>
          <w:footnotePr/>
          <w:endnotePr/>
          <w:type w:val="nextPage"/>
          <w:pgSz w:w="11906" w:h="16838" w:orient="portrait"/>
          <w:pgMar w:top="1043" w:right="1077" w:bottom="1043" w:left="1157" w:header="851" w:footer="992" w:gutter="0"/>
          <w:pgNumType w:start="0"/>
          <w:cols w:num="1" w:sep="0" w:space="720" w:equalWidth="1"/>
          <w:docGrid w:linePitch="360"/>
          <w:titlePg/>
        </w:sectPr>
      </w:pPr>
      <w:r>
        <w:rPr>
          <w:rFonts w:hint="eastAsia" w:ascii="宋体" w:hAnsi="宋体" w:eastAsia="宋体" w:cs="宋体"/>
          <w:b/>
          <w:color w:val="auto"/>
          <w:sz w:val="52"/>
          <w:szCs w:val="52"/>
          <w:highlight w:val="none"/>
        </w:rPr>
      </w:r>
      <w:r/>
    </w:p>
    <w:p>
      <w:pPr>
        <w:jc w:val="center"/>
        <w:spacing w:line="48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44"/>
          <w:szCs w:val="44"/>
          <w:highlight w:val="none"/>
        </w:rPr>
        <w:t xml:space="preserve">目    录</w:t>
      </w:r>
      <w:r/>
    </w:p>
    <w:p>
      <w:pPr>
        <w:pStyle w:val="699"/>
        <w:spacing w:line="480" w:lineRule="auto"/>
        <w:tabs>
          <w:tab w:val="right" w:pos="9366" w:leader="dot"/>
        </w:tabs>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fldChar w:fldCharType="begin"/>
      </w:r>
      <w:r>
        <w:rPr>
          <w:rStyle w:val="810"/>
          <w:rFonts w:hint="eastAsia" w:ascii="宋体" w:hAnsi="宋体" w:eastAsia="宋体" w:cs="宋体"/>
          <w:b/>
          <w:bCs/>
          <w:color w:val="auto"/>
          <w:sz w:val="28"/>
          <w:szCs w:val="28"/>
          <w:highlight w:val="none"/>
        </w:rPr>
        <w:instrText xml:space="preserve">TOC \o "1-1" \h \u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"_Toc27257"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8"/>
          <w:szCs w:val="28"/>
          <w:highlight w:val="none"/>
        </w:rPr>
        <w:t xml:space="preserve">第一章 磋商邀请函</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_Toc27257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699"/>
        <w:spacing w:line="480" w:lineRule="auto"/>
        <w:tabs>
          <w:tab w:val="right" w:pos="9366" w:leader="dot"/>
        </w:tabs>
        <w:rPr>
          <w:rFonts w:hint="eastAsia" w:ascii="宋体" w:hAnsi="宋体" w:eastAsia="宋体" w:cs="宋体"/>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"_Toc23510"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第二章 磋商须知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_Toc23510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699"/>
        <w:spacing w:line="480" w:lineRule="auto"/>
        <w:tabs>
          <w:tab w:val="right" w:pos="9366" w:leader="dot"/>
        </w:tabs>
        <w:rPr>
          <w:rFonts w:hint="eastAsia" w:ascii="宋体" w:hAnsi="宋体" w:eastAsia="宋体" w:cs="宋体"/>
          <w:color w:val="auto"/>
          <w:sz w:val="28"/>
          <w:szCs w:val="28"/>
          <w:highlight w:val="none"/>
          <w:lang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"_Toc31428"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8"/>
          <w:szCs w:val="28"/>
          <w:highlight w:val="none"/>
        </w:rPr>
        <w:t xml:space="preserve">第三章 磋商响应文件格式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_Toc31428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7</w:t>
      </w:r>
      <w:r/>
    </w:p>
    <w:p>
      <w:pPr>
        <w:pStyle w:val="699"/>
        <w:spacing w:line="480" w:lineRule="auto"/>
        <w:tabs>
          <w:tab w:val="right" w:pos="9366" w:leader="dot"/>
        </w:tabs>
        <w:rPr>
          <w:rFonts w:hint="eastAsia" w:ascii="宋体" w:hAnsi="宋体" w:eastAsia="宋体" w:cs="宋体"/>
          <w:color w:val="auto"/>
          <w:highlight w:val="none"/>
          <w:lang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"_Toc31428"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8"/>
          <w:szCs w:val="28"/>
          <w:highlight w:val="none"/>
        </w:rPr>
        <w:t xml:space="preserve">第</w:t>
      </w:r>
      <w:r>
        <w:rPr>
          <w:rFonts w:hint="eastAsia" w:ascii="宋体" w:hAnsi="宋体" w:eastAsia="宋体" w:cs="宋体"/>
          <w:bCs/>
          <w:color w:val="auto"/>
          <w:sz w:val="28"/>
          <w:szCs w:val="28"/>
          <w:highlight w:val="none"/>
          <w:lang w:val="en-US" w:eastAsia="zh-CN"/>
        </w:rPr>
        <w:t xml:space="preserve">四</w:t>
      </w:r>
      <w:r>
        <w:rPr>
          <w:rFonts w:hint="eastAsia" w:ascii="宋体" w:hAnsi="宋体" w:eastAsia="宋体" w:cs="宋体"/>
          <w:bCs/>
          <w:color w:val="auto"/>
          <w:sz w:val="28"/>
          <w:szCs w:val="28"/>
          <w:highlight w:val="none"/>
        </w:rPr>
        <w:t xml:space="preserve">章 </w:t>
      </w:r>
      <w:r>
        <w:rPr>
          <w:rFonts w:hint="eastAsia" w:ascii="宋体" w:hAnsi="宋体" w:eastAsia="宋体" w:cs="宋体"/>
          <w:bCs/>
          <w:color w:val="auto"/>
          <w:sz w:val="28"/>
          <w:szCs w:val="28"/>
          <w:highlight w:val="none"/>
          <w:lang w:val="en-US" w:eastAsia="zh-CN"/>
        </w:rPr>
        <w:t xml:space="preserve">采购内容</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_Toc31428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7</w:t>
      </w:r>
      <w:r/>
    </w:p>
    <w:p>
      <w:pPr>
        <w:pStyle w:val="699"/>
        <w:spacing w:line="480" w:lineRule="auto"/>
        <w:tabs>
          <w:tab w:val="right" w:pos="9366" w:leader="dot"/>
        </w:tabs>
        <w:rPr>
          <w:rFonts w:hint="eastAsia" w:ascii="宋体" w:hAnsi="宋体" w:eastAsia="宋体" w:cs="宋体"/>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"_Toc11037"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第五章 合同主要条款</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_Toc11037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4</w:t>
      </w:r>
      <w:r/>
    </w:p>
    <w:p>
      <w:pPr>
        <w:pStyle w:val="699"/>
        <w:spacing w:line="480" w:lineRule="auto"/>
        <w:tabs>
          <w:tab w:val="right" w:pos="9366" w:leader="dot"/>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"_Toc19"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8"/>
          <w:szCs w:val="28"/>
          <w:highlight w:val="none"/>
        </w:rPr>
        <w:t xml:space="preserve">第六章 评审办法及评分标准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2</w:t>
      </w:r>
      <w:bookmarkStart w:id="54" w:name="_GoBack"/>
      <w:r/>
      <w:bookmarkEnd w:id="54"/>
      <w:r/>
      <w:r/>
    </w:p>
    <w:p>
      <w:pPr>
        <w:pStyle w:val="840"/>
        <w:jc w:val="both"/>
        <w:spacing w:line="480" w:lineRule="auto"/>
        <w:rPr>
          <w:rFonts w:hint="eastAsia" w:ascii="宋体" w:hAnsi="宋体" w:eastAsia="宋体" w:cs="宋体"/>
          <w:color w:val="auto"/>
          <w:sz w:val="30"/>
          <w:szCs w:val="30"/>
          <w:highlight w:val="none"/>
        </w:rPr>
      </w:pPr>
      <w:r>
        <w:rPr>
          <w:rFonts w:hint="eastAsia" w:ascii="宋体" w:hAnsi="宋体" w:eastAsia="宋体" w:cs="宋体"/>
          <w:bCs/>
          <w:color w:val="auto"/>
          <w:sz w:val="28"/>
          <w:szCs w:val="28"/>
          <w:highlight w:val="none"/>
        </w:rPr>
        <w:fldChar w:fldCharType="end"/>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bookmarkStart w:id="0" w:name="_Toc19501"/>
      <w:r/>
      <w:bookmarkStart w:id="1" w:name="_Toc30314"/>
      <w:r/>
      <w:r/>
    </w:p>
    <w:p>
      <w:pPr>
        <w:jc w:val="center"/>
        <w:spacing w:line="360" w:lineRule="auto"/>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jc w:val="center"/>
        <w:spacing w:line="360" w:lineRule="auto"/>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jc w:val="center"/>
        <w:spacing w:line="360" w:lineRule="auto"/>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jc w:val="center"/>
        <w:spacing w:line="360" w:lineRule="auto"/>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jc w:val="center"/>
        <w:spacing w:line="360" w:lineRule="auto"/>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spacing w:line="360" w:lineRule="auto"/>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jc w:val="center"/>
        <w:spacing w:line="360" w:lineRule="auto"/>
        <w:rPr>
          <w:rFonts w:hint="eastAsia" w:ascii="宋体" w:hAnsi="宋体" w:eastAsia="宋体" w:cs="宋体"/>
          <w:color w:val="auto"/>
          <w:sz w:val="52"/>
          <w:szCs w:val="52"/>
          <w:highlight w:val="none"/>
        </w:rPr>
        <w:outlineLvl w:val="0"/>
      </w:pPr>
      <w:r/>
      <w:bookmarkStart w:id="2" w:name="_Toc27257"/>
      <w:r>
        <w:rPr>
          <w:rFonts w:hint="eastAsia" w:ascii="宋体" w:hAnsi="宋体" w:eastAsia="宋体" w:cs="宋体"/>
          <w:b/>
          <w:bCs/>
          <w:color w:val="auto"/>
          <w:sz w:val="52"/>
          <w:szCs w:val="52"/>
          <w:highlight w:val="none"/>
        </w:rPr>
        <w:t xml:space="preserve">第一章 磋商邀请函</w:t>
      </w:r>
      <w:bookmarkEnd w:id="0"/>
      <w:r/>
      <w:bookmarkEnd w:id="1"/>
      <w:r/>
      <w:bookmarkEnd w:id="2"/>
      <w:r/>
      <w:r/>
    </w:p>
    <w:p>
      <w:pPr>
        <w:rPr>
          <w:rFonts w:hint="eastAsia" w:ascii="宋体" w:hAnsi="宋体" w:eastAsia="宋体" w:cs="宋体"/>
          <w:color w:val="auto"/>
          <w:sz w:val="24"/>
          <w:szCs w:val="24"/>
          <w:highlight w:val="none"/>
        </w:rPr>
      </w:pPr>
      <w:r>
        <w:rPr>
          <w:rFonts w:hint="eastAsia" w:ascii="宋体" w:hAnsi="宋体" w:eastAsia="宋体" w:cs="宋体"/>
          <w:color w:val="auto"/>
          <w:sz w:val="52"/>
          <w:highlight w:val="none"/>
        </w:rPr>
        <w:br w:type="page" w:clear="all"/>
      </w:r>
      <w:r/>
    </w:p>
    <w:p>
      <w:pPr>
        <w:ind w:firstLine="480"/>
        <w:spacing w:line="360" w:lineRule="auto"/>
        <w:rPr>
          <w:rFonts w:hint="eastAsia" w:ascii="宋体" w:hAnsi="宋体" w:eastAsia="宋体" w:cs="宋体"/>
          <w:color w:val="auto"/>
          <w:sz w:val="24"/>
          <w:szCs w:val="24"/>
          <w:highlight w:val="none"/>
          <w:lang w:val="en-US" w:eastAsia="zh-CN"/>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lang w:val="en-US" w:eastAsia="zh-CN"/>
        </w:rPr>
        <w:t xml:space="preserve">项目概况</w:t>
      </w:r>
      <w:r/>
    </w:p>
    <w:p>
      <w:pPr>
        <w:ind w:firstLine="480"/>
        <w:spacing w:line="36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lang w:eastAsia="zh-CN"/>
        </w:rPr>
        <w:t xml:space="preserve">镇湖安置房1-5期泛光照明维修工程JSZC-320505-HXGW-C2026-0018</w:t>
      </w:r>
      <w:r>
        <w:rPr>
          <w:rFonts w:hint="eastAsia" w:ascii="宋体" w:hAnsi="宋体" w:eastAsia="宋体" w:cs="宋体"/>
          <w:color w:val="auto"/>
          <w:sz w:val="24"/>
          <w:szCs w:val="24"/>
          <w:highlight w:val="none"/>
        </w:rPr>
        <w:t xml:space="preserve">采购项目的潜在供应商应在江苏省政府采购一体化平台“苏采云”系统</w:t>
      </w:r>
      <w:r>
        <w:rPr>
          <w:rFonts w:hint="eastAsia" w:ascii="宋体" w:hAnsi="宋体" w:eastAsia="宋体" w:cs="宋体"/>
          <w:color w:val="auto"/>
          <w:sz w:val="24"/>
          <w:szCs w:val="24"/>
          <w:highlight w:val="none"/>
          <w:lang w:val="en-US" w:eastAsia="zh-CN"/>
        </w:rPr>
        <w:t xml:space="preserve">获取</w:t>
      </w:r>
      <w:r>
        <w:rPr>
          <w:rFonts w:hint="eastAsia" w:ascii="宋体" w:hAnsi="宋体" w:eastAsia="宋体" w:cs="宋体"/>
          <w:color w:val="auto"/>
          <w:sz w:val="24"/>
          <w:szCs w:val="24"/>
          <w:highlight w:val="none"/>
        </w:rPr>
        <w:t xml:space="preserve">采购文件，并于202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rPr>
        <w:t xml:space="preserve">：30</w:t>
      </w:r>
      <w:r>
        <w:rPr>
          <w:rFonts w:hint="eastAsia" w:ascii="宋体" w:hAnsi="宋体" w:eastAsia="宋体" w:cs="宋体"/>
          <w:bCs/>
          <w:color w:val="auto"/>
          <w:sz w:val="24"/>
          <w:szCs w:val="24"/>
          <w:highlight w:val="none"/>
        </w:rPr>
        <w:t xml:space="preserve">（北京时间）前提交响应文件</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color w:val="auto"/>
          <w:sz w:val="24"/>
          <w:szCs w:val="24"/>
          <w:highlight w:val="none"/>
        </w:rPr>
      </w:pPr>
      <w:r/>
      <w:bookmarkStart w:id="3" w:name="_Toc28359002"/>
      <w:r/>
      <w:bookmarkStart w:id="4" w:name="_Hlk24379207"/>
      <w:r/>
      <w:bookmarkStart w:id="5" w:name="_Toc28359079"/>
      <w:r/>
      <w:bookmarkStart w:id="6" w:name="_Toc35393621"/>
      <w:r/>
      <w:bookmarkStart w:id="7" w:name="_Toc35393790"/>
      <w:r>
        <w:rPr>
          <w:rFonts w:hint="eastAsia" w:ascii="宋体" w:hAnsi="宋体" w:eastAsia="宋体" w:cs="宋体"/>
          <w:b/>
          <w:color w:val="auto"/>
          <w:sz w:val="24"/>
          <w:szCs w:val="24"/>
          <w:highlight w:val="none"/>
        </w:rPr>
        <w:t xml:space="preserve">一、项目基本情况</w:t>
      </w:r>
      <w:bookmarkEnd w:id="3"/>
      <w:r/>
      <w:bookmarkEnd w:id="4"/>
      <w:r/>
      <w:bookmarkEnd w:id="5"/>
      <w:r/>
      <w:bookmarkEnd w:id="6"/>
      <w:r/>
      <w:bookmarkEnd w:id="7"/>
      <w:r/>
      <w:r/>
    </w:p>
    <w:p>
      <w:pPr>
        <w:ind w:firstLine="480"/>
        <w:spacing w:line="360" w:lineRule="auto"/>
        <w:tabs>
          <w:tab w:val="left" w:pos="711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JSZC-320505-HXGW-C2026-0018</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镇湖安置房1-5期泛光照明维修工程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采购方式：竞争性磋商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w:t>
      </w:r>
      <w:r>
        <w:rPr>
          <w:rFonts w:hint="eastAsia" w:ascii="宋体" w:hAnsi="宋体" w:cs="宋体"/>
          <w:color w:val="auto"/>
          <w:sz w:val="24"/>
          <w:szCs w:val="24"/>
          <w:highlight w:val="none"/>
          <w:lang w:eastAsia="zh-CN"/>
        </w:rPr>
        <w:t xml:space="preserve">202.2775</w:t>
      </w:r>
      <w:r>
        <w:rPr>
          <w:rFonts w:hint="eastAsia" w:ascii="宋体" w:hAnsi="宋体" w:eastAsia="宋体" w:cs="宋体"/>
          <w:color w:val="auto"/>
          <w:sz w:val="24"/>
          <w:szCs w:val="24"/>
          <w:highlight w:val="none"/>
        </w:rPr>
        <w:t xml:space="preserve">万元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无</w:t>
      </w:r>
      <w:r>
        <w:rPr>
          <w:rFonts w:hint="eastAsia" w:ascii="宋体" w:hAnsi="宋体" w:eastAsia="宋体" w:cs="宋体"/>
          <w:color w:val="auto"/>
          <w:sz w:val="24"/>
          <w:szCs w:val="24"/>
          <w:highlight w:val="none"/>
        </w:rPr>
        <w:t xml:space="preserve">。</w:t>
      </w:r>
      <w:r/>
    </w:p>
    <w:p>
      <w:pPr>
        <w:ind w:firstLine="480"/>
        <w:spacing w:line="360" w:lineRule="auto"/>
        <w:tabs>
          <w:tab w:val="left" w:pos="711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采购需求：具体内容详见采购文件。</w:t>
      </w:r>
      <w:r/>
    </w:p>
    <w:p>
      <w:pPr>
        <w:ind w:firstLine="480"/>
        <w:spacing w:line="360" w:lineRule="auto"/>
        <w:tabs>
          <w:tab w:val="left" w:pos="7113"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镇湖安置房1-5期泛光照明维修工程，</w:t>
      </w:r>
      <w:r>
        <w:rPr>
          <w:rFonts w:hint="eastAsia" w:ascii="宋体" w:hAnsi="宋体" w:cs="宋体"/>
          <w:color w:val="auto"/>
          <w:sz w:val="24"/>
          <w:szCs w:val="24"/>
          <w:highlight w:val="none"/>
          <w:lang w:val="en-US" w:eastAsia="zh-CN"/>
        </w:rPr>
        <w:t xml:space="preserve">具体详见工程量清单（网盘链接:https://pan.baidu.com/s/1kqwpgaJqhdklzguyUeyfmQ 提取码:HXGW）。</w:t>
      </w:r>
      <w:r/>
    </w:p>
    <w:p>
      <w:pPr>
        <w:ind w:firstLine="480"/>
        <w:spacing w:line="360" w:lineRule="auto"/>
        <w:tabs>
          <w:tab w:val="left" w:pos="7113"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质量要求：合格。</w:t>
      </w:r>
      <w:r/>
    </w:p>
    <w:p>
      <w:pPr>
        <w:ind w:firstLine="480"/>
        <w:spacing w:line="360" w:lineRule="auto"/>
        <w:tabs>
          <w:tab w:val="left" w:pos="711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w:t>
      </w:r>
      <w:r>
        <w:rPr>
          <w:rFonts w:hint="eastAsia" w:ascii="宋体" w:hAnsi="宋体" w:cs="宋体"/>
          <w:color w:val="auto"/>
          <w:sz w:val="24"/>
          <w:szCs w:val="24"/>
          <w:highlight w:val="none"/>
          <w:lang w:eastAsia="zh-CN"/>
        </w:rPr>
        <w:t xml:space="preserve">3个月，具体开工日期以采购人通知为准。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本项目（是/否）接受联合体：否</w:t>
      </w:r>
      <w:r/>
    </w:p>
    <w:p>
      <w:pPr>
        <w:ind w:firstLine="482"/>
        <w:spacing w:line="360" w:lineRule="auto"/>
        <w:rPr>
          <w:rFonts w:hint="eastAsia" w:ascii="宋体" w:hAnsi="宋体" w:eastAsia="宋体" w:cs="宋体"/>
          <w:b/>
          <w:color w:val="auto"/>
          <w:sz w:val="24"/>
          <w:szCs w:val="24"/>
          <w:highlight w:val="none"/>
        </w:rPr>
      </w:pPr>
      <w:r/>
      <w:bookmarkStart w:id="8" w:name="_Toc28359090"/>
      <w:r/>
      <w:bookmarkStart w:id="9" w:name="_Toc35393630"/>
      <w:r/>
      <w:bookmarkStart w:id="10" w:name="_Toc35393799"/>
      <w:r/>
      <w:bookmarkStart w:id="11" w:name="_Toc28359013"/>
      <w:r>
        <w:rPr>
          <w:rFonts w:hint="eastAsia" w:ascii="宋体" w:hAnsi="宋体" w:eastAsia="宋体" w:cs="宋体"/>
          <w:b/>
          <w:color w:val="auto"/>
          <w:sz w:val="24"/>
          <w:szCs w:val="24"/>
          <w:highlight w:val="none"/>
        </w:rPr>
        <w:t xml:space="preserve">二、申请人的资格要求：</w:t>
      </w:r>
      <w:bookmarkEnd w:id="8"/>
      <w:r/>
      <w:bookmarkEnd w:id="9"/>
      <w:r/>
      <w:bookmarkEnd w:id="10"/>
      <w:r/>
      <w:bookmarkEnd w:id="11"/>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bookmarkStart w:id="12" w:name="_Toc28359003"/>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w:t>
      </w:r>
      <w:bookmarkEnd w:id="12"/>
      <w:r/>
      <w:bookmarkStart w:id="13" w:name="_Toc28359014"/>
      <w:r/>
      <w:bookmarkStart w:id="14" w:name="_Toc28359091"/>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bookmarkStart w:id="15" w:name="_Toc35393800"/>
      <w:r/>
      <w:bookmarkStart w:id="16" w:name="_Toc35393631"/>
      <w:r>
        <w:rPr>
          <w:rFonts w:hint="eastAsia" w:ascii="宋体" w:hAnsi="宋体" w:eastAsia="宋体" w:cs="宋体"/>
          <w:color w:val="auto"/>
          <w:sz w:val="24"/>
          <w:szCs w:val="24"/>
          <w:highlight w:val="none"/>
        </w:rPr>
        <w:t xml:space="preserve">（二）落实政府采购政策需满足的资格要求：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1.根据《政府采购促进中小企业发展管理办法》的相关规定，本项目专门面向中小企业采购，</w:t>
      </w:r>
      <w:r>
        <w:rPr>
          <w:rFonts w:hint="eastAsia" w:ascii="宋体" w:hAnsi="宋体" w:eastAsia="宋体" w:cs="宋体"/>
          <w:b/>
          <w:bCs/>
          <w:color w:val="auto"/>
          <w:sz w:val="24"/>
          <w:szCs w:val="24"/>
          <w:highlight w:val="none"/>
        </w:rPr>
        <w:t xml:space="preserve">所属行业为建筑业，</w:t>
      </w:r>
      <w:r>
        <w:rPr>
          <w:rFonts w:hint="eastAsia" w:ascii="宋体" w:hAnsi="宋体" w:eastAsia="宋体" w:cs="宋体"/>
          <w:color w:val="auto"/>
          <w:sz w:val="24"/>
          <w:szCs w:val="24"/>
          <w:highlight w:val="none"/>
        </w:rPr>
        <w:t xml:space="preserve">供应商应为中小微企业、监狱企业、残疾人福利性单位，应提供《中小企业声明函》或《残疾人福利性单位声明函》或省级以上监狱管理局、戒毒管理局（含新疆生产建设兵团）出具的属于监狱企业的证明文件。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1.具有有效的</w:t>
      </w:r>
      <w:r>
        <w:rPr>
          <w:rFonts w:hint="eastAsia" w:ascii="宋体" w:hAnsi="宋体" w:cs="宋体"/>
          <w:color w:val="auto"/>
          <w:sz w:val="24"/>
          <w:szCs w:val="24"/>
          <w:highlight w:val="none"/>
          <w:lang w:eastAsia="zh-CN"/>
        </w:rPr>
        <w:t xml:space="preserve">城市及道路照明工程专业承包三级及以上资质</w:t>
      </w:r>
      <w:r>
        <w:rPr>
          <w:rFonts w:hint="eastAsia" w:ascii="宋体" w:hAnsi="宋体" w:eastAsia="宋体" w:cs="宋体"/>
          <w:color w:val="auto"/>
          <w:sz w:val="24"/>
          <w:szCs w:val="24"/>
          <w:highlight w:val="none"/>
        </w:rPr>
        <w:t xml:space="preserve">，具备安全生产条件，并取得有效期内的安全生产许可证；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2.拟选派项目负责人资质等级：</w:t>
      </w:r>
      <w:r>
        <w:rPr>
          <w:rFonts w:hint="eastAsia" w:ascii="宋体" w:hAnsi="宋体" w:cs="宋体"/>
          <w:color w:val="auto"/>
          <w:sz w:val="24"/>
          <w:szCs w:val="24"/>
          <w:highlight w:val="none"/>
          <w:lang w:eastAsia="zh-CN"/>
        </w:rPr>
        <w:t xml:space="preserve">机电</w:t>
      </w:r>
      <w:r>
        <w:rPr>
          <w:rFonts w:hint="eastAsia" w:ascii="宋体" w:hAnsi="宋体" w:eastAsia="宋体" w:cs="宋体"/>
          <w:color w:val="auto"/>
          <w:sz w:val="24"/>
          <w:szCs w:val="24"/>
          <w:highlight w:val="none"/>
        </w:rPr>
        <w:t xml:space="preserve">工程专业二级及以上建造师和《建筑施工企业项目负责人安全生产考核合格证书》（B证），且必须满足下列条件：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（1）项目负责人不得同时在两个或者两个以上单位受聘或者执业（同时在两个及以上单位签订劳动合同或交纳社会保险或将本人执（职）业资格证书同时注册在两个及以上单位）。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负责人是非变更后无在建工程，或项目负责人是变更后无在建工程（必须原合同工期已满且变更备案之日已满6个月），或因非成交单位原因致使工程项目停工或因故不能按期开工、且已办理了项目负责人解锁手续，或项目负责人有在建工程，但该在建工程与本次工程属于同一工程项目、同一项目批文、同一施工地点分段发包或分期施工的情况且总的工程规模在项目负责人执业范围之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3.未被“信用中国”网站列入失信被执行人、重大税收违法案件当事人名单、政府采购严重失信行为记录名单。</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三、获取采购文件</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时间：自磋商文件公告发布之日起5个工作日</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w:t>
      </w:r>
      <w:bookmarkStart w:id="17" w:name="OLE_LINK11"/>
      <w:r>
        <w:rPr>
          <w:rFonts w:hint="eastAsia" w:ascii="宋体" w:hAnsi="宋体" w:eastAsia="宋体" w:cs="宋体"/>
          <w:color w:val="auto"/>
          <w:sz w:val="24"/>
          <w:szCs w:val="24"/>
          <w:highlight w:val="none"/>
        </w:rPr>
        <w:t xml:space="preserve">江苏省政府采购一体化平台“苏采云”系统</w:t>
      </w:r>
      <w:bookmarkEnd w:id="17"/>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方式：“苏采云”系统线上获取</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售价：0.00元</w:t>
      </w:r>
      <w:r/>
    </w:p>
    <w:p>
      <w:pPr>
        <w:ind w:firstLine="482"/>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四、响应文件提交</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截止时间：202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rPr>
        <w:t xml:space="preserve">：30（北京时间）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地点：江苏省政府采购一体化平台“苏采云”系统</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五、开启</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rPr>
        <w:t xml:space="preserve">：30（北京时间）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w:t>
      </w:r>
      <w:bookmarkEnd w:id="13"/>
      <w:r/>
      <w:bookmarkEnd w:id="14"/>
      <w:r/>
      <w:bookmarkEnd w:id="15"/>
      <w:r/>
      <w:bookmarkEnd w:id="16"/>
      <w:r>
        <w:rPr>
          <w:rFonts w:hint="eastAsia" w:ascii="宋体" w:hAnsi="宋体" w:eastAsia="宋体" w:cs="宋体"/>
          <w:color w:val="auto"/>
          <w:sz w:val="24"/>
          <w:szCs w:val="24"/>
          <w:highlight w:val="none"/>
        </w:rPr>
        <w:t xml:space="preserve">苏州市市辖区</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rPr>
        <w:t xml:space="preserve">不见面</w:t>
      </w:r>
      <w:r>
        <w:rPr>
          <w:rFonts w:hint="eastAsia" w:ascii="宋体" w:hAnsi="宋体" w:eastAsia="宋体" w:cs="宋体"/>
          <w:color w:val="auto"/>
          <w:sz w:val="24"/>
          <w:szCs w:val="24"/>
          <w:highlight w:val="none"/>
        </w:rPr>
        <w:t xml:space="preserve">虚拟</w:t>
      </w:r>
      <w:r>
        <w:rPr>
          <w:rFonts w:hint="eastAsia" w:ascii="宋体" w:hAnsi="宋体" w:eastAsia="宋体" w:cs="宋体"/>
          <w:color w:val="auto"/>
          <w:sz w:val="24"/>
          <w:szCs w:val="24"/>
          <w:highlight w:val="none"/>
        </w:rPr>
        <w:t xml:space="preserve">开标室</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六、公告期限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自本公告发布之日起3个工作日。</w:t>
      </w:r>
      <w:r/>
    </w:p>
    <w:p>
      <w:pPr>
        <w:ind w:firstLine="482"/>
        <w:spacing w:line="360" w:lineRule="auto"/>
        <w:rPr>
          <w:rFonts w:hint="eastAsia" w:ascii="宋体" w:hAnsi="宋体" w:eastAsia="宋体" w:cs="宋体"/>
          <w:b/>
          <w:color w:val="auto"/>
          <w:sz w:val="24"/>
          <w:szCs w:val="24"/>
          <w:highlight w:val="none"/>
        </w:rPr>
      </w:pPr>
      <w:r/>
      <w:bookmarkStart w:id="18" w:name="_Toc35393804"/>
      <w:r/>
      <w:bookmarkStart w:id="19" w:name="_Toc35393635"/>
      <w:r>
        <w:rPr>
          <w:rFonts w:hint="eastAsia" w:ascii="宋体" w:hAnsi="宋体" w:eastAsia="宋体" w:cs="宋体"/>
          <w:b/>
          <w:bCs/>
          <w:color w:val="auto"/>
          <w:sz w:val="24"/>
          <w:szCs w:val="24"/>
          <w:highlight w:val="none"/>
        </w:rPr>
        <w:t xml:space="preserve">七</w:t>
      </w:r>
      <w:r>
        <w:rPr>
          <w:rFonts w:hint="eastAsia" w:ascii="宋体" w:hAnsi="宋体" w:eastAsia="宋体" w:cs="宋体"/>
          <w:b/>
          <w:color w:val="auto"/>
          <w:sz w:val="24"/>
          <w:szCs w:val="24"/>
          <w:highlight w:val="none"/>
        </w:rPr>
        <w:t xml:space="preserve">、其他补充事宜</w:t>
      </w:r>
      <w:bookmarkEnd w:id="18"/>
      <w:r/>
      <w:bookmarkEnd w:id="19"/>
      <w:r/>
      <w:r/>
    </w:p>
    <w:p>
      <w:pPr>
        <w:ind w:firstLine="480"/>
        <w:spacing w:line="360" w:lineRule="auto"/>
        <w:rPr>
          <w:rFonts w:hint="eastAsia" w:ascii="宋体" w:hAnsi="宋体" w:eastAsia="宋体" w:cs="宋体"/>
          <w:color w:val="auto"/>
          <w:sz w:val="24"/>
          <w:szCs w:val="24"/>
          <w:highlight w:val="none"/>
        </w:rPr>
      </w:pPr>
      <w:r/>
      <w:bookmarkStart w:id="20" w:name="_Toc28359095"/>
      <w:r/>
      <w:bookmarkStart w:id="21" w:name="_Toc35393636"/>
      <w:r/>
      <w:bookmarkStart w:id="22" w:name="_Toc35393805"/>
      <w:r/>
      <w:bookmarkStart w:id="23" w:name="_Toc28359018"/>
      <w:r>
        <w:rPr>
          <w:rFonts w:hint="eastAsia" w:ascii="宋体" w:hAnsi="宋体" w:eastAsia="宋体" w:cs="宋体"/>
          <w:color w:val="auto"/>
          <w:sz w:val="24"/>
          <w:szCs w:val="24"/>
          <w:highlight w:val="none"/>
        </w:rPr>
        <w:t xml:space="preserve">1、CA办理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供应商通过</w:t>
      </w:r>
      <w:r>
        <w:rPr>
          <w:rFonts w:hint="eastAsia" w:ascii="宋体" w:hAnsi="宋体" w:eastAsia="宋体" w:cs="宋体"/>
          <w:color w:val="auto"/>
          <w:sz w:val="24"/>
          <w:szCs w:val="24"/>
          <w:highlight w:val="none"/>
        </w:rPr>
        <w:t xml:space="preserve">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eastAsia="宋体" w:cs="宋体"/>
          <w:color w:val="auto"/>
          <w:sz w:val="24"/>
          <w:szCs w:val="24"/>
          <w:highlight w:val="none"/>
          <w:lang w:val="en-US" w:eastAsia="zh-CN"/>
        </w:rPr>
        <w:t xml:space="preserve">苏州市高新区邓尉路105号狮山科技馆一楼服务大厅</w:t>
      </w:r>
      <w:r>
        <w:rPr>
          <w:rFonts w:hint="eastAsia" w:ascii="宋体" w:hAnsi="宋体" w:eastAsia="宋体" w:cs="宋体"/>
          <w:color w:val="auto"/>
          <w:sz w:val="24"/>
          <w:szCs w:val="24"/>
          <w:highlight w:val="none"/>
        </w:rPr>
        <w:t xml:space="preserve">，咨询电话：0512-</w:t>
      </w:r>
      <w:r>
        <w:rPr>
          <w:rFonts w:hint="eastAsia" w:ascii="宋体" w:hAnsi="宋体" w:eastAsia="宋体" w:cs="宋体"/>
          <w:color w:val="auto"/>
          <w:sz w:val="24"/>
          <w:szCs w:val="24"/>
          <w:highlight w:val="none"/>
          <w:lang w:val="en-US" w:eastAsia="zh-CN"/>
        </w:rPr>
        <w:t xml:space="preserve">65727699</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2、依法获取采购文件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插入CA证书登陆“苏采云”系统后选择具体项目，点击“我要参与”并签章提交《供应商确认函》，确认参与后自行免费下载采购文件，提交《供应商确认函》日期视同为依法获取采购文件日期。供应商须打印、保留《供应商确认函》，质疑时《供应商确认函》与质疑函一并提交。未依照招标（采购）公告要求提交《供应商确认函》的供应商，视为未参与该项政府采购活动，不具备对该政府采购项目提出质疑的法定权利，但因供应商资格条件或获取招标（采购）文件时间设定不符合有关法律法规规定等原因使供应商权益受损的除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更正（补充）公告及附件的获取：项目的招标（采购）文件的更正、补充（澄清）通知作为招标（采购）文件的组成部分，对响应单位起约束作用，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3、电子投标（响应）准备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在“苏采云”系统中操作成功参与项目后，必须在“已参与项目”界面中下载电子招标（采购）文件并导入政府采购客户端工具后方可进行投标（响应）文件制作和提交（具体详见《苏采云系统供应商操作手册》，网址链接https：//czju.suzhou.gov.cn/zfcg/html/content/20231220161910031.shtml）。</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4、线上参加开标（开启）会方式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响应）文件，如在系统规定的解密时间（投标/响应文件提交截止时间后30分钟）内未能完成解密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视为放弃投标（响应）。</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供应商确保电脑、系统及其他设备（视频输入、输出设备等）无误，且开标直至项目结束始终保持系统在线状态，并按要求在规定时间内进行响应。在评审过程中系统如有特殊情况，工作人员会及时通过《供应商确认函》或法人授权委托书（如有）中留存的手机号与供应商联系。请供应商确保系统在线状态且该手机号开评标当日通讯畅通，否则导致的对供应商不利的后果由供应商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5、在系统操作过程中如有疑问，请按以下方式联系：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CA技术咨询服务电话：400-608-6099；</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电子签章技术咨询服务电话：</w:t>
      </w:r>
      <w:r>
        <w:rPr>
          <w:rFonts w:hint="eastAsia" w:ascii="宋体" w:hAnsi="宋体" w:eastAsia="宋体" w:cs="宋体"/>
          <w:i w:val="0"/>
          <w:iCs w:val="0"/>
          <w:caps w:val="0"/>
          <w:color w:val="auto"/>
          <w:spacing w:val="0"/>
          <w:sz w:val="24"/>
          <w:szCs w:val="24"/>
          <w:highlight w:val="none"/>
          <w:shd w:val="clear" w:color="auto"/>
        </w:rPr>
        <w:t xml:space="preserve">025-83633811、025-83633812</w:t>
      </w:r>
      <w:r>
        <w:rPr>
          <w:rFonts w:hint="eastAsia" w:ascii="宋体" w:hAnsi="宋体" w:cs="宋体"/>
          <w:i w:val="0"/>
          <w:iCs w:val="0"/>
          <w:caps w:val="0"/>
          <w:color w:val="auto"/>
          <w:spacing w:val="0"/>
          <w:sz w:val="24"/>
          <w:szCs w:val="24"/>
          <w:highlight w:val="none"/>
          <w:shd w:val="clear" w:color="auto"/>
          <w:lang w:eastAsia="zh-CN"/>
        </w:rPr>
        <w:t xml:space="preserve">、</w:t>
      </w:r>
      <w:r>
        <w:rPr>
          <w:rFonts w:hint="eastAsia" w:ascii="宋体" w:hAnsi="宋体" w:eastAsia="宋体" w:cs="宋体"/>
          <w:i w:val="0"/>
          <w:iCs w:val="0"/>
          <w:caps w:val="0"/>
          <w:color w:val="auto"/>
          <w:spacing w:val="0"/>
          <w:sz w:val="24"/>
          <w:szCs w:val="24"/>
          <w:highlight w:val="none"/>
          <w:shd w:val="clear" w:color="auto"/>
        </w:rPr>
        <w:t xml:space="preserve">15380932027、13675197356</w:t>
      </w:r>
      <w:r>
        <w:rPr>
          <w:rFonts w:hint="eastAsia" w:ascii="宋体" w:hAnsi="宋体" w:cs="宋体"/>
          <w:i w:val="0"/>
          <w:iCs w:val="0"/>
          <w:caps w:val="0"/>
          <w:color w:val="auto"/>
          <w:spacing w:val="0"/>
          <w:sz w:val="24"/>
          <w:szCs w:val="24"/>
          <w:highlight w:val="none"/>
          <w:shd w:val="clear" w:color="auto"/>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“苏采云”平台技术咨询电话：</w:t>
      </w:r>
      <w:bookmarkStart w:id="24" w:name="_Hlk157939100"/>
      <w:r/>
      <w:bookmarkStart w:id="25" w:name="_Hlk155717243"/>
      <w:r>
        <w:rPr>
          <w:rFonts w:hint="eastAsia" w:ascii="宋体" w:hAnsi="宋体" w:eastAsia="宋体" w:cs="宋体"/>
          <w:color w:val="auto"/>
          <w:sz w:val="24"/>
          <w:szCs w:val="24"/>
          <w:highlight w:val="none"/>
        </w:rPr>
        <w:t xml:space="preserve">0519-86722802、13914088964</w:t>
      </w:r>
      <w:bookmarkEnd w:id="24"/>
      <w:r/>
      <w:bookmarkEnd w:id="25"/>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6、考虑到熟悉“苏采云”系统、办理CA证书都需要一定的时间，请提早准备以免耽误招（投）标采购活动。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7、拒绝下述供应商参加本次采购活动：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（1）单位负责人为同一人或者存在直接控股、管理关系的不同供应商，不得参加同一合同项下的政府采购活动。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（2）为采购项目提供整体设计、规范编制或者项目管理、监理、检测等服务的供应商，不得再参加该采购项目的其他采购活动。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shd w:val="clear" w:color="auto" w:fill="ffffff"/>
          <w:lang w:bidi="ar"/>
        </w:rPr>
        <w:t xml:space="preserve">本次采购的有关信息</w:t>
      </w:r>
      <w:r>
        <w:rPr>
          <w:rFonts w:hint="eastAsia" w:ascii="宋体" w:hAnsi="宋体" w:cs="宋体"/>
          <w:color w:val="auto"/>
          <w:sz w:val="24"/>
          <w:szCs w:val="24"/>
          <w:highlight w:val="none"/>
          <w:shd w:val="clear" w:color="auto" w:fill="ffffff"/>
          <w:lang w:eastAsia="zh-CN" w:bidi="ar"/>
        </w:rPr>
        <w:t xml:space="preserve">（</w:t>
      </w:r>
      <w:r>
        <w:rPr>
          <w:rFonts w:hint="eastAsia" w:ascii="宋体" w:hAnsi="宋体" w:cs="宋体"/>
          <w:color w:val="auto"/>
          <w:sz w:val="24"/>
          <w:szCs w:val="24"/>
          <w:highlight w:val="none"/>
          <w:shd w:val="clear" w:color="auto" w:fill="ffffff"/>
          <w:lang w:val="en-US" w:eastAsia="zh-CN" w:bidi="ar"/>
        </w:rPr>
        <w:t xml:space="preserve">包括</w:t>
      </w:r>
      <w:r>
        <w:rPr>
          <w:rFonts w:hint="eastAsia" w:ascii="宋体" w:hAnsi="宋体" w:eastAsia="宋体" w:cs="宋体"/>
          <w:color w:val="auto"/>
          <w:sz w:val="24"/>
          <w:szCs w:val="24"/>
          <w:highlight w:val="none"/>
          <w:shd w:val="clear" w:color="auto" w:fill="ffffff"/>
          <w:lang w:bidi="ar"/>
        </w:rPr>
        <w:t xml:space="preserve">澄清、修改及成交等</w:t>
      </w:r>
      <w:r>
        <w:rPr>
          <w:rFonts w:hint="eastAsia" w:ascii="宋体" w:hAnsi="宋体" w:cs="宋体"/>
          <w:color w:val="auto"/>
          <w:sz w:val="24"/>
          <w:szCs w:val="24"/>
          <w:highlight w:val="none"/>
          <w:shd w:val="clear" w:color="auto" w:fill="ffffff"/>
          <w:lang w:eastAsia="zh-CN" w:bidi="ar"/>
        </w:rPr>
        <w:t xml:space="preserve">）</w:t>
      </w:r>
      <w:r>
        <w:rPr>
          <w:rFonts w:hint="eastAsia" w:ascii="宋体" w:hAnsi="宋体" w:eastAsia="宋体" w:cs="宋体"/>
          <w:color w:val="auto"/>
          <w:sz w:val="24"/>
          <w:szCs w:val="24"/>
          <w:highlight w:val="none"/>
          <w:shd w:val="clear" w:color="auto" w:fill="ffffff"/>
          <w:lang w:bidi="ar"/>
        </w:rPr>
        <w:t xml:space="preserve">将在中国政府采购网、江苏政府采购网、苏州市政府采购网上发布，敬请留意。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9、本项目获取采购文件截止日期之后下载的采购文件，视为非有效方式且不作为供应商权益受到损害的证明材料和依据。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10、本项目不收取磋商保证金。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shd w:val="clear" w:color="auto" w:fill="ffffff"/>
          <w:lang w:bidi="ar"/>
        </w:rPr>
        <w:t xml:space="preserve">如不同投标（响应）文件制作机器码一致，则投标（响应）无效。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12、本项目支持政府采购合同信用融资。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13、苏州</w:t>
      </w:r>
      <w:r>
        <w:rPr>
          <w:rFonts w:hint="eastAsia" w:ascii="宋体" w:hAnsi="宋体" w:eastAsia="宋体" w:cs="宋体"/>
          <w:color w:val="auto"/>
          <w:sz w:val="24"/>
          <w:szCs w:val="24"/>
          <w:highlight w:val="none"/>
          <w:lang w:val="en-US" w:eastAsia="zh-CN"/>
        </w:rPr>
        <w:t xml:space="preserve">高新区</w:t>
      </w:r>
      <w:r>
        <w:rPr>
          <w:rFonts w:hint="eastAsia" w:ascii="宋体" w:hAnsi="宋体" w:eastAsia="宋体" w:cs="宋体"/>
          <w:color w:val="auto"/>
          <w:sz w:val="24"/>
          <w:szCs w:val="24"/>
          <w:highlight w:val="none"/>
        </w:rPr>
        <w:t xml:space="preserve">政府采购监督电话：0512-6</w:t>
      </w:r>
      <w:r>
        <w:rPr>
          <w:rFonts w:hint="eastAsia" w:ascii="宋体" w:hAnsi="宋体" w:eastAsia="宋体" w:cs="宋体"/>
          <w:color w:val="auto"/>
          <w:sz w:val="24"/>
          <w:szCs w:val="24"/>
          <w:highlight w:val="none"/>
          <w:lang w:val="en-US" w:eastAsia="zh-CN"/>
        </w:rPr>
        <w:t xml:space="preserve">8751331</w:t>
      </w:r>
      <w:r>
        <w:rPr>
          <w:rFonts w:hint="eastAsia" w:ascii="宋体" w:hAnsi="宋体" w:eastAsia="宋体" w:cs="宋体"/>
          <w:color w:val="auto"/>
          <w:sz w:val="24"/>
          <w:szCs w:val="24"/>
          <w:highlight w:val="none"/>
        </w:rPr>
        <w:t xml:space="preserve">、0512-6</w:t>
      </w:r>
      <w:r>
        <w:rPr>
          <w:rFonts w:hint="eastAsia" w:ascii="宋体" w:hAnsi="宋体" w:eastAsia="宋体" w:cs="宋体"/>
          <w:color w:val="auto"/>
          <w:sz w:val="24"/>
          <w:szCs w:val="24"/>
          <w:highlight w:val="none"/>
          <w:lang w:val="en-US" w:eastAsia="zh-CN"/>
        </w:rPr>
        <w:t xml:space="preserve">8751335</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八、凡对本次采购提出询问，请按以下方式联系。</w:t>
      </w:r>
      <w:bookmarkEnd w:id="20"/>
      <w:r/>
      <w:bookmarkEnd w:id="21"/>
      <w:r/>
      <w:bookmarkEnd w:id="22"/>
      <w:r/>
      <w:bookmarkEnd w:id="23"/>
      <w:r/>
      <w:r/>
    </w:p>
    <w:p>
      <w:pPr>
        <w:ind w:firstLine="480"/>
        <w:spacing w:line="360" w:lineRule="auto"/>
        <w:rPr>
          <w:rFonts w:hint="eastAsia" w:ascii="宋体" w:hAnsi="宋体" w:eastAsia="宋体" w:cs="宋体"/>
          <w:color w:val="auto"/>
          <w:sz w:val="24"/>
          <w:szCs w:val="24"/>
          <w:highlight w:val="none"/>
        </w:rPr>
      </w:pPr>
      <w:r/>
      <w:bookmarkStart w:id="26" w:name="_Toc28359019"/>
      <w:r/>
      <w:bookmarkStart w:id="27" w:name="_Toc35393637"/>
      <w:r/>
      <w:bookmarkStart w:id="28" w:name="_Toc35393806"/>
      <w:r/>
      <w:bookmarkStart w:id="29" w:name="_Toc28359096"/>
      <w:r>
        <w:rPr>
          <w:rFonts w:hint="eastAsia" w:ascii="宋体" w:hAnsi="宋体" w:eastAsia="宋体" w:cs="宋体"/>
          <w:color w:val="auto"/>
          <w:sz w:val="24"/>
          <w:szCs w:val="24"/>
          <w:highlight w:val="none"/>
        </w:rPr>
        <w:t xml:space="preserve">1.采购人信息</w:t>
      </w:r>
      <w:bookmarkEnd w:id="26"/>
      <w:r/>
      <w:bookmarkEnd w:id="27"/>
      <w:r/>
      <w:bookmarkEnd w:id="28"/>
      <w:r/>
      <w:bookmarkEnd w:id="29"/>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名称：</w:t>
      </w:r>
      <w:r>
        <w:rPr>
          <w:rFonts w:hint="eastAsia" w:ascii="宋体" w:hAnsi="宋体" w:cs="宋体"/>
          <w:color w:val="auto"/>
          <w:sz w:val="24"/>
          <w:szCs w:val="24"/>
          <w:highlight w:val="none"/>
          <w:lang w:eastAsia="zh-CN"/>
        </w:rPr>
        <w:t xml:space="preserve">苏州国家高新技术产业开发区镇湖街道办事处</w:t>
      </w:r>
      <w:r/>
    </w:p>
    <w:p>
      <w:pPr>
        <w:ind w:firstLine="480"/>
        <w:spacing w:line="360" w:lineRule="auto"/>
        <w:rPr>
          <w:rFonts w:hint="eastAsia" w:ascii="宋体" w:hAnsi="宋体" w:eastAsia="宋体" w:cs="宋体"/>
          <w:color w:val="auto"/>
          <w:sz w:val="24"/>
          <w:szCs w:val="24"/>
          <w:highlight w:val="none"/>
          <w:lang w:eastAsia="zh-CN"/>
        </w:rPr>
      </w:pPr>
      <w:r/>
      <w:bookmarkStart w:id="30" w:name="_Toc35393638"/>
      <w:r/>
      <w:bookmarkStart w:id="31" w:name="_Toc28359097"/>
      <w:r/>
      <w:bookmarkStart w:id="32" w:name="_Toc28359020"/>
      <w:r/>
      <w:bookmarkStart w:id="33" w:name="_Toc35393807"/>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苏州高新区镇湖街道东城路350号</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w:t>
      </w:r>
      <w:r>
        <w:rPr>
          <w:rFonts w:hint="eastAsia" w:ascii="宋体" w:hAnsi="宋体" w:cs="宋体"/>
          <w:color w:val="auto"/>
          <w:sz w:val="24"/>
          <w:szCs w:val="24"/>
          <w:highlight w:val="none"/>
          <w:lang w:val="en-US" w:eastAsia="zh-CN"/>
        </w:rPr>
        <w:t xml:space="preserve">曹成业</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联系电话：0512-</w:t>
      </w:r>
      <w:r>
        <w:rPr>
          <w:rFonts w:hint="eastAsia" w:ascii="宋体" w:hAnsi="宋体" w:cs="宋体"/>
          <w:color w:val="auto"/>
          <w:sz w:val="24"/>
          <w:szCs w:val="24"/>
          <w:highlight w:val="none"/>
        </w:rPr>
        <w:t xml:space="preserve">66891078</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bookmarkEnd w:id="30"/>
      <w:r/>
      <w:bookmarkEnd w:id="31"/>
      <w:r/>
      <w:bookmarkEnd w:id="32"/>
      <w:r/>
      <w:bookmarkEnd w:id="33"/>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名称：涵熙（苏州）工程顾问有限公司</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地址：苏州高新区汾湖路99号狮山总部经济中心7幢3层</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邵赞瑜、</w:t>
      </w:r>
      <w:r>
        <w:rPr>
          <w:rFonts w:hint="eastAsia" w:ascii="宋体" w:hAnsi="宋体" w:eastAsia="宋体" w:cs="宋体"/>
          <w:color w:val="auto"/>
          <w:sz w:val="24"/>
          <w:szCs w:val="24"/>
          <w:highlight w:val="none"/>
        </w:rPr>
        <w:t xml:space="preserve">张雯雯</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联系电话：0512-69589240</w:t>
      </w:r>
      <w:r/>
    </w:p>
    <w:p>
      <w:pPr>
        <w:ind w:firstLine="480"/>
        <w:spacing w:line="360" w:lineRule="auto"/>
        <w:rPr>
          <w:rFonts w:hint="eastAsia" w:ascii="宋体" w:hAnsi="宋体" w:eastAsia="宋体" w:cs="宋体"/>
          <w:color w:val="auto"/>
          <w:sz w:val="24"/>
          <w:szCs w:val="24"/>
          <w:highlight w:val="none"/>
        </w:rPr>
      </w:pPr>
      <w:r/>
      <w:bookmarkStart w:id="34" w:name="_Toc35393808"/>
      <w:r/>
      <w:bookmarkStart w:id="35" w:name="_Toc28359021"/>
      <w:r/>
      <w:bookmarkStart w:id="36" w:name="_Toc35393639"/>
      <w:r/>
      <w:bookmarkStart w:id="37" w:name="_Toc28359098"/>
      <w:r>
        <w:rPr>
          <w:rFonts w:hint="eastAsia" w:ascii="宋体" w:hAnsi="宋体" w:eastAsia="宋体" w:cs="宋体"/>
          <w:color w:val="auto"/>
          <w:sz w:val="24"/>
          <w:szCs w:val="24"/>
          <w:highlight w:val="none"/>
        </w:rPr>
        <w:t xml:space="preserve">3.项目联系方式</w:t>
      </w:r>
      <w:bookmarkEnd w:id="34"/>
      <w:r/>
      <w:bookmarkEnd w:id="35"/>
      <w:r/>
      <w:bookmarkEnd w:id="36"/>
      <w:r/>
      <w:bookmarkEnd w:id="37"/>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val="en-US" w:eastAsia="zh-CN"/>
        </w:rPr>
        <w:t xml:space="preserve">邵赞瑜、</w:t>
      </w:r>
      <w:r>
        <w:rPr>
          <w:rFonts w:hint="eastAsia" w:ascii="宋体" w:hAnsi="宋体" w:eastAsia="宋体" w:cs="宋体"/>
          <w:color w:val="auto"/>
          <w:sz w:val="24"/>
          <w:szCs w:val="24"/>
          <w:highlight w:val="none"/>
        </w:rPr>
        <w:t xml:space="preserve">张雯雯</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电话：0512-69589240</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center"/>
        <w:spacing w:line="360" w:lineRule="auto"/>
        <w:tabs>
          <w:tab w:val="left" w:pos="8930" w:leader="none"/>
          <w:tab w:val="left" w:pos="9306" w:leader="none"/>
        </w:tabs>
        <w:rPr>
          <w:rStyle w:val="810"/>
          <w:rFonts w:hint="eastAsia" w:ascii="宋体" w:hAnsi="宋体" w:eastAsia="宋体" w:cs="宋体"/>
          <w:color w:val="auto"/>
          <w:sz w:val="52"/>
          <w:szCs w:val="52"/>
          <w:highlight w:val="none"/>
        </w:rPr>
        <w:outlineLvl w:val="0"/>
      </w:pPr>
      <w:r>
        <w:rPr>
          <w:rFonts w:hint="eastAsia" w:ascii="宋体" w:hAnsi="宋体" w:eastAsia="宋体" w:cs="宋体"/>
          <w:color w:val="auto"/>
          <w:sz w:val="52"/>
          <w:szCs w:val="52"/>
          <w:highlight w:val="none"/>
        </w:rPr>
      </w:r>
      <w:r/>
    </w:p>
    <w:p>
      <w:pPr>
        <w:jc w:val="center"/>
        <w:spacing w:line="360" w:lineRule="auto"/>
        <w:tabs>
          <w:tab w:val="left" w:pos="8930" w:leader="none"/>
          <w:tab w:val="left" w:pos="9306" w:leader="none"/>
        </w:tabs>
        <w:rPr>
          <w:rStyle w:val="810"/>
          <w:rFonts w:hint="eastAsia" w:ascii="宋体" w:hAnsi="宋体" w:eastAsia="宋体" w:cs="宋体"/>
          <w:color w:val="auto"/>
          <w:sz w:val="52"/>
          <w:szCs w:val="52"/>
          <w:highlight w:val="none"/>
        </w:rPr>
        <w:outlineLvl w:val="0"/>
      </w:pPr>
      <w:r>
        <w:rPr>
          <w:rFonts w:hint="eastAsia" w:ascii="宋体" w:hAnsi="宋体" w:eastAsia="宋体" w:cs="宋体"/>
          <w:color w:val="auto"/>
          <w:sz w:val="52"/>
          <w:szCs w:val="52"/>
          <w:highlight w:val="none"/>
        </w:rPr>
      </w:r>
      <w:r/>
    </w:p>
    <w:p>
      <w:pPr>
        <w:jc w:val="center"/>
        <w:spacing w:line="360" w:lineRule="auto"/>
        <w:tabs>
          <w:tab w:val="left" w:pos="8930" w:leader="none"/>
          <w:tab w:val="left" w:pos="9306" w:leader="none"/>
        </w:tabs>
        <w:rPr>
          <w:rStyle w:val="810"/>
          <w:rFonts w:hint="eastAsia" w:ascii="宋体" w:hAnsi="宋体" w:eastAsia="宋体" w:cs="宋体"/>
          <w:color w:val="auto"/>
          <w:sz w:val="52"/>
          <w:szCs w:val="52"/>
          <w:highlight w:val="none"/>
        </w:rPr>
        <w:outlineLvl w:val="0"/>
      </w:pPr>
      <w:r>
        <w:rPr>
          <w:rFonts w:hint="eastAsia" w:ascii="宋体" w:hAnsi="宋体" w:eastAsia="宋体" w:cs="宋体"/>
          <w:color w:val="auto"/>
          <w:sz w:val="52"/>
          <w:szCs w:val="52"/>
          <w:highlight w:val="none"/>
        </w:rPr>
      </w:r>
      <w:r/>
    </w:p>
    <w:p>
      <w:pPr>
        <w:jc w:val="center"/>
        <w:spacing w:line="360" w:lineRule="auto"/>
        <w:tabs>
          <w:tab w:val="left" w:pos="8930" w:leader="none"/>
          <w:tab w:val="left" w:pos="9306" w:leader="none"/>
        </w:tabs>
        <w:rPr>
          <w:rStyle w:val="810"/>
          <w:rFonts w:hint="eastAsia" w:ascii="宋体" w:hAnsi="宋体" w:eastAsia="宋体" w:cs="宋体"/>
          <w:color w:val="auto"/>
          <w:sz w:val="52"/>
          <w:szCs w:val="52"/>
          <w:highlight w:val="none"/>
        </w:rPr>
        <w:outlineLvl w:val="0"/>
      </w:pPr>
      <w:r>
        <w:rPr>
          <w:rFonts w:hint="eastAsia" w:ascii="宋体" w:hAnsi="宋体" w:eastAsia="宋体" w:cs="宋体"/>
          <w:color w:val="auto"/>
          <w:sz w:val="52"/>
          <w:szCs w:val="52"/>
          <w:highlight w:val="none"/>
        </w:rPr>
      </w:r>
      <w:r/>
    </w:p>
    <w:p>
      <w:pPr>
        <w:spacing w:line="360" w:lineRule="auto"/>
        <w:tabs>
          <w:tab w:val="left" w:pos="8930" w:leader="none"/>
          <w:tab w:val="left" w:pos="9306" w:leader="none"/>
        </w:tabs>
        <w:rPr>
          <w:rStyle w:val="810"/>
          <w:rFonts w:hint="eastAsia" w:ascii="宋体" w:hAnsi="宋体" w:eastAsia="宋体" w:cs="宋体"/>
          <w:color w:val="auto"/>
          <w:sz w:val="52"/>
          <w:szCs w:val="52"/>
          <w:highlight w:val="none"/>
        </w:rPr>
        <w:outlineLvl w:val="0"/>
      </w:pPr>
      <w:r>
        <w:rPr>
          <w:rFonts w:hint="eastAsia" w:ascii="宋体" w:hAnsi="宋体" w:eastAsia="宋体" w:cs="宋体"/>
          <w:color w:val="auto"/>
          <w:sz w:val="52"/>
          <w:szCs w:val="52"/>
          <w:highlight w:val="none"/>
        </w:rPr>
      </w:r>
      <w:r/>
    </w:p>
    <w:p>
      <w:pPr>
        <w:jc w:val="center"/>
        <w:spacing w:line="360" w:lineRule="auto"/>
        <w:tabs>
          <w:tab w:val="left" w:pos="8930" w:leader="none"/>
          <w:tab w:val="left" w:pos="9306" w:leader="none"/>
        </w:tabs>
        <w:rPr>
          <w:rStyle w:val="810"/>
          <w:rFonts w:hint="eastAsia" w:ascii="宋体" w:hAnsi="宋体" w:eastAsia="宋体" w:cs="宋体"/>
          <w:color w:val="auto"/>
          <w:sz w:val="52"/>
          <w:szCs w:val="52"/>
          <w:highlight w:val="none"/>
        </w:rPr>
        <w:outlineLvl w:val="0"/>
      </w:pPr>
      <w:r>
        <w:rPr>
          <w:rFonts w:hint="eastAsia" w:ascii="宋体" w:hAnsi="宋体" w:eastAsia="宋体" w:cs="宋体"/>
          <w:color w:val="auto"/>
          <w:sz w:val="52"/>
          <w:szCs w:val="52"/>
          <w:highlight w:val="none"/>
        </w:rPr>
      </w:r>
      <w:r/>
    </w:p>
    <w:p>
      <w:pPr>
        <w:jc w:val="center"/>
        <w:spacing w:line="360" w:lineRule="auto"/>
        <w:tabs>
          <w:tab w:val="left" w:pos="8930" w:leader="none"/>
          <w:tab w:val="left" w:pos="9306" w:leader="none"/>
        </w:tabs>
        <w:rPr>
          <w:rFonts w:hint="eastAsia" w:ascii="宋体" w:hAnsi="宋体" w:eastAsia="宋体" w:cs="宋体"/>
          <w:color w:val="auto"/>
          <w:sz w:val="52"/>
          <w:szCs w:val="52"/>
          <w:highlight w:val="none"/>
        </w:rPr>
        <w:outlineLvl w:val="0"/>
      </w:pPr>
      <w:r/>
      <w:bookmarkStart w:id="38" w:name="_Toc23510"/>
      <w:r>
        <w:rPr>
          <w:rStyle w:val="810"/>
          <w:rFonts w:hint="eastAsia" w:ascii="宋体" w:hAnsi="宋体" w:eastAsia="宋体" w:cs="宋体"/>
          <w:color w:val="auto"/>
          <w:sz w:val="52"/>
          <w:szCs w:val="52"/>
          <w:highlight w:val="none"/>
        </w:rPr>
        <w:t xml:space="preserve">第二章  磋商须知</w:t>
      </w:r>
      <w:bookmarkEnd w:id="38"/>
      <w:r/>
      <w:r/>
    </w:p>
    <w:p>
      <w:pPr>
        <w:spacing w:line="360" w:lineRule="auto"/>
        <w:rPr>
          <w:rFonts w:hint="eastAsia" w:ascii="宋体" w:hAnsi="宋体" w:eastAsia="宋体" w:cs="宋体"/>
          <w:color w:val="auto"/>
          <w:sz w:val="52"/>
          <w:szCs w:val="52"/>
          <w:highlight w:val="none"/>
        </w:rPr>
        <w:outlineLvl w:val="0"/>
      </w:pPr>
      <w:r>
        <w:rPr>
          <w:rFonts w:hint="eastAsia" w:ascii="宋体" w:hAnsi="宋体" w:eastAsia="宋体" w:cs="宋体"/>
          <w:color w:val="auto"/>
          <w:sz w:val="52"/>
          <w:szCs w:val="52"/>
          <w:highlight w:val="none"/>
        </w:rPr>
      </w:r>
      <w:r/>
    </w:p>
    <w:p>
      <w:pPr>
        <w:ind w:firstLine="422"/>
        <w:spacing w:line="360" w:lineRule="auto"/>
        <w:tabs>
          <w:tab w:val="left" w:pos="8930" w:leader="none"/>
          <w:tab w:val="left" w:pos="930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Cs w:val="21"/>
          <w:highlight w:val="none"/>
        </w:rPr>
        <w:br w:type="page" w:clear="all"/>
      </w:r>
      <w:r>
        <w:rPr>
          <w:rFonts w:hint="eastAsia" w:ascii="宋体" w:hAnsi="宋体" w:eastAsia="宋体" w:cs="宋体"/>
          <w:b/>
          <w:bCs/>
          <w:color w:val="auto"/>
          <w:sz w:val="24"/>
          <w:szCs w:val="24"/>
          <w:highlight w:val="none"/>
        </w:rPr>
        <w:t xml:space="preserve">1.说明</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1.1本采购文件仅适用于涵熙（苏州）工程顾问有限公司组织的采购活动。</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1.2本次采购活动及因本次采购产生的合同受中国法律制约和保护。</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1.3本采购文件的解释权属于涵熙（苏州）工程顾问有限公司。</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2.词语释义</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2.1采购单位：依法进行政府采购的国家机关、事业单位、团体组织。</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2.2采购代理机构：指依法接受采购人委托，从事货物、工程和服务等政府采购业务的采购代理机构。</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2.3供应商：响应磋商并且符合采购文件规定资格条件和参加磋商竞争的法人、其他组织或者自然人。</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2.4响应：供应商根据采购单位发布的采购文件，编制磋商响应文件并按规定参与磋商的行为。</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2.5合同：采供双方根据采购文件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成交的磋商响应文件及成交通知书规定的内容签署的以书面形式达成的协议，包括所有的附件、附录和构成协议的所有文件。</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2.6甲方（采购方）：合同中明确规定的实际购买货物和服务的法人或其他组织和自然人。</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2.7乙方（供应商）：合同中规定的向采购方提供货物和服务的法人或其他组织和自然人。</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2.8货物：系指供应商按采购文件规定，应向采购方提供的一切设备、备品、备件、工具、手册及其它有关技术资料和材料。</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2.9服务：系指本次采购文件规定供应商应承担的与提供货物和服务有关的辅助服务，比如运输、保险、安装、调试、提供技术援助、培训、配合措施、维修响应及合同中规定供应商应承担的其它义务。</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2.10知识产权：指专利权、商标权、著作权等无形财产专有权的统称。</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2.11天：日历天。</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2.12时间：除特别说明，均指北京时间。</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2.13交货地点：合同中明确约定的供应商提交的货物和服务最终到达地点。</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2.14合同价款：根据合同规定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供应商在正确履行合同义务后采购方应支付供应商的价款。</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2.15产地：货物开采、生长、生产、最终制造、加工或提供服务的来源地。</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2.16不可抗力：不能预见、不能避免并且不能克服的客观情况。</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2.17实质性响应：满足本次采购标的、数量、质量、价款或者报酬、履行期限、履行地点和方式、违约责任和解决争议方法等要求。</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2.18进口产品：指通过中国海关报关验放进入中国境内且产自境外的产品。</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2.19书面形式：指书面文字、合同书、信件和传真等可以有形地表现所载内容的形式。</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3.申请人的资格要求</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详见本项目采购文件第一章中的“申请人的资格要求”。</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4.供应商代表</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w:t>
      </w:r>
      <w:r>
        <w:rPr>
          <w:rFonts w:hint="eastAsia" w:ascii="宋体" w:hAnsi="宋体" w:cs="宋体"/>
          <w:color w:val="auto"/>
          <w:sz w:val="24"/>
          <w:szCs w:val="24"/>
          <w:highlight w:val="none"/>
          <w:lang w:val="en-US" w:eastAsia="zh-CN"/>
        </w:rPr>
        <w:t xml:space="preserve">供应商代表</w:t>
      </w:r>
      <w:r>
        <w:rPr>
          <w:rFonts w:hint="eastAsia" w:ascii="宋体" w:hAnsi="宋体" w:eastAsia="宋体" w:cs="宋体"/>
          <w:color w:val="auto"/>
          <w:sz w:val="24"/>
          <w:szCs w:val="24"/>
          <w:highlight w:val="none"/>
        </w:rPr>
        <w:t xml:space="preserve">指全权代表供应商参加磋商采购活动并签署磋商响应文件的人，如果磋商供应商代表不是法人代表，须持有《法人代表授权委托书》（详见采购文件第三章统一格式）。</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5.磋商费用</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5.1无论磋商过程中的做法和结果如何，磋商供应商自行承担所有与参加磋商有关的全部费用。</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6.联合体响应</w:t>
      </w:r>
      <w:r/>
    </w:p>
    <w:p>
      <w:pPr>
        <w:ind w:firstLine="480"/>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z w:val="24"/>
          <w:szCs w:val="24"/>
          <w:highlight w:val="none"/>
        </w:rPr>
        <w:t xml:space="preserve">6.1本项目不接受联合体</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，采购文件中涉及</w:t>
      </w:r>
      <w:r>
        <w:rPr>
          <w:rFonts w:hint="eastAsia" w:ascii="宋体" w:hAnsi="宋体" w:cs="宋体"/>
          <w:color w:val="auto"/>
          <w:sz w:val="24"/>
          <w:szCs w:val="24"/>
          <w:highlight w:val="none"/>
          <w:lang w:val="en-US" w:eastAsia="zh-CN"/>
        </w:rPr>
        <w:t xml:space="preserve">联合体</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lang w:val="en-US" w:eastAsia="zh-CN"/>
        </w:rPr>
        <w:t xml:space="preserve">相关</w:t>
      </w:r>
      <w:r>
        <w:rPr>
          <w:rFonts w:hint="eastAsia" w:ascii="宋体" w:hAnsi="宋体" w:eastAsia="宋体" w:cs="宋体"/>
          <w:color w:val="auto"/>
          <w:sz w:val="24"/>
          <w:szCs w:val="24"/>
          <w:highlight w:val="none"/>
        </w:rPr>
        <w:t xml:space="preserve">条款均不适用。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pacing w:val="-1"/>
          <w:sz w:val="24"/>
          <w:szCs w:val="24"/>
          <w:highlight w:val="none"/>
        </w:rPr>
        <w:t xml:space="preserve">6.2</w:t>
      </w:r>
      <w:r>
        <w:rPr>
          <w:rFonts w:hint="eastAsia" w:ascii="宋体" w:hAnsi="宋体" w:cs="宋体"/>
          <w:color w:val="auto"/>
          <w:spacing w:val="-1"/>
          <w:sz w:val="24"/>
          <w:szCs w:val="24"/>
          <w:highlight w:val="none"/>
          <w:lang w:val="en-US" w:eastAsia="zh-CN"/>
        </w:rPr>
        <w:t xml:space="preserve">若</w:t>
      </w:r>
      <w:r>
        <w:rPr>
          <w:rFonts w:hint="eastAsia" w:ascii="宋体" w:hAnsi="宋体" w:eastAsia="宋体" w:cs="宋体"/>
          <w:color w:val="auto"/>
          <w:sz w:val="24"/>
          <w:highlight w:val="none"/>
        </w:rPr>
        <w:t xml:space="preserve">本项目采购公告规定接受联合体的，联合体除应符合上述资格要求外，还应遵守以下规定：</w:t>
      </w:r>
      <w:r/>
    </w:p>
    <w:p>
      <w:pPr>
        <w:ind w:firstLine="476"/>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（1）联合体各方应当向采购人提交联合体协议书，载明联合体各方承担的工作和义务，明确小微企业（残疾人福利性单位、监狱企业）的合同份额占合同总金额的比例（如涉及），否则响应无效。</w:t>
      </w:r>
      <w:r/>
    </w:p>
    <w:p>
      <w:pPr>
        <w:ind w:firstLine="476"/>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（2）联合体中有同类资质的供应商按照联合体分工承担相同工作的，应当按照资质等级较低的供应商确定资质等级。</w:t>
      </w:r>
      <w:r/>
    </w:p>
    <w:p>
      <w:pPr>
        <w:ind w:firstLine="476"/>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（3）联合体各方不得再单独参加或者与其他供应商组成联合体参加同一合同项下的政府采购活动，否则各相关响应均无效。</w:t>
      </w:r>
      <w:r/>
    </w:p>
    <w:p>
      <w:pPr>
        <w:ind w:firstLine="476"/>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pacing w:val="-1"/>
          <w:sz w:val="24"/>
          <w:szCs w:val="24"/>
          <w:highlight w:val="none"/>
        </w:rPr>
        <w:t xml:space="preserve">（4）联合体各方应当共同与采购人签订采购合同，就采购合同约定的事项对采购人承担连带责任。</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7.采购文件的澄清或修改</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磋商供应商获取采购文件后，应认真审阅采购文件中所有的事项、格式、条款和规范要求等，若供应商的磋商响应文件没有按采购文件要求提交（上传）全部资料，或磋商响应文件没有对采购文件做出实质性响应，其风险由供应商自行承担，并根据有关条款规定，该响应有可能被拒绝。</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提交首次响应文件截止之日前，采购代理机构有权在出于实际需要的情况下，以“更正（补充）公告”的形式在原公告发布媒体上对已发出的采购文件进行必要的澄清或者修改。澄清或者修改的内容作为采购文件的组成部分，对所有供应商具有约束力。为保证供应商有足够时间修正响应文件，或出于其他合理原因，采购代理机构可依法顺延提交首次响应文件截止之日。</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供应商应及时关注政府采购信息发布媒体上发布的更正（补充）公告，同时在“苏采云”系统中下载更正（补充）资料，如有遗漏（包括但不限于文件未下载或下载不完整），可能无法解密投标（响应）文件，由此所造成的投标（响应）失败或损失由供应商自行负责。</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7.4采购文件及其补充文件未按规定的方式获得的，采购代理机构对采购文件及其补遗的真实性、完整性不承担任何责任。</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8.采购文件提疑</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8.1询问：</w:t>
      </w:r>
      <w:r>
        <w:rPr>
          <w:rFonts w:hint="eastAsia" w:ascii="宋体" w:hAnsi="宋体" w:eastAsia="宋体" w:cs="宋体"/>
          <w:color w:val="auto"/>
          <w:sz w:val="24"/>
          <w:szCs w:val="24"/>
          <w:highlight w:val="none"/>
        </w:rPr>
        <w:t xml:space="preserve">供应商在收到采购文件后，若有问题需要询问，应于下载采购文件后，</w:t>
      </w:r>
      <w:r>
        <w:rPr>
          <w:rFonts w:hint="eastAsia" w:ascii="宋体" w:hAnsi="宋体" w:eastAsia="宋体" w:cs="宋体"/>
          <w:color w:val="auto"/>
          <w:sz w:val="24"/>
          <w:szCs w:val="24"/>
          <w:highlight w:val="none"/>
          <w:shd w:val="clear" w:color="auto" w:fill="ffffff"/>
        </w:rPr>
        <w:t xml:space="preserve">通过公告中的联系方式及时提出，采购人或采购代理机构将予以解答，但答复内容不得涉及商业秘密。</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8.2质疑：</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8.2.1供应商认为采购文件、采购过程或中标、成交结果使自己的权益受到损害的，可以在知道或者应知其权益受到损害之日起7个工作日内，以书面形式向采购人、采购代理机构提出质疑。采购代理机构应当在收到</w:t>
      </w:r>
      <w:r>
        <w:rPr>
          <w:rFonts w:hint="eastAsia" w:ascii="宋体" w:hAnsi="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书面质疑后7个工作日内作出答复，但不说明来源，并以书面形式通知质疑供应商和与质疑事项有关的供应商，但答复的内容不得涉及商业秘密。</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8.2.2根据《政府采购质疑和投诉办法》（财政部第94号令）第十一条规定，提出质疑的供应商应当是参与所质疑项目采购活动的供应商。因此凡对采购文件提出质疑的供应商，必须是依法获取采购文件，</w:t>
      </w:r>
      <w:r>
        <w:rPr>
          <w:rFonts w:hint="eastAsia" w:ascii="宋体" w:hAnsi="宋体" w:eastAsia="宋体" w:cs="宋体"/>
          <w:color w:val="auto"/>
          <w:sz w:val="24"/>
          <w:szCs w:val="24"/>
          <w:highlight w:val="none"/>
        </w:rPr>
        <w:t xml:space="preserve">请将合法获取采购文件的证明材料（即</w:t>
      </w:r>
      <w:r>
        <w:rPr>
          <w:rFonts w:hint="eastAsia" w:ascii="宋体" w:hAnsi="宋体" w:eastAsia="宋体" w:cs="宋体"/>
          <w:b/>
          <w:color w:val="auto"/>
          <w:sz w:val="24"/>
          <w:szCs w:val="24"/>
          <w:highlight w:val="none"/>
        </w:rPr>
        <w:t xml:space="preserve">《投标供应商确认函》</w:t>
      </w:r>
      <w:r>
        <w:rPr>
          <w:rFonts w:hint="eastAsia" w:ascii="宋体" w:hAnsi="宋体" w:eastAsia="宋体" w:cs="宋体"/>
          <w:color w:val="auto"/>
          <w:sz w:val="24"/>
          <w:szCs w:val="24"/>
          <w:highlight w:val="none"/>
        </w:rPr>
        <w:t xml:space="preserve">）与质疑函一起递交，否则不予受理。</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8.2.3本次采购文件要求供应商在法定质疑期内一次性提出针对同一采购程序环节的质疑。</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8.2.</w:t>
      </w:r>
      <w:r>
        <w:rPr>
          <w:rFonts w:hint="eastAsia" w:ascii="宋体" w:hAnsi="宋体" w:eastAsia="宋体" w:cs="宋体"/>
          <w:color w:val="auto"/>
          <w:sz w:val="24"/>
          <w:szCs w:val="24"/>
          <w:highlight w:val="none"/>
        </w:rPr>
        <w:t xml:space="preserve">4供应商提出质疑应当提交质疑函和必要的证明材料。质疑函应当包括下列内容：</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8.2.</w:t>
      </w:r>
      <w:r>
        <w:rPr>
          <w:rFonts w:hint="eastAsia" w:ascii="宋体" w:hAnsi="宋体" w:eastAsia="宋体" w:cs="宋体"/>
          <w:color w:val="auto"/>
          <w:sz w:val="24"/>
          <w:szCs w:val="24"/>
          <w:highlight w:val="none"/>
        </w:rPr>
        <w:t xml:space="preserve">4.1供应商的姓名或者名称（以营业执照副本复印件为准）、地址、邮编、联系人及联系电话；</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4.2质疑项目的名称、编号；</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4.3具体、明确的质疑事项和与质疑事项相关的请求；</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4.4事实依据；</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4.5必要的法律依据；</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4.6提出质疑的日期；</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4.7</w:t>
      </w:r>
      <w:r>
        <w:rPr>
          <w:rFonts w:hint="eastAsia" w:ascii="宋体" w:hAnsi="宋体" w:eastAsia="宋体" w:cs="宋体"/>
          <w:bCs/>
          <w:color w:val="auto"/>
          <w:sz w:val="24"/>
          <w:szCs w:val="24"/>
          <w:highlight w:val="none"/>
        </w:rPr>
        <w:t xml:space="preserve">供应商参加投标确认函</w:t>
      </w:r>
      <w:r>
        <w:rPr>
          <w:rFonts w:hint="eastAsia" w:ascii="宋体" w:hAnsi="宋体" w:eastAsia="宋体" w:cs="宋体"/>
          <w:color w:val="auto"/>
          <w:sz w:val="24"/>
          <w:szCs w:val="24"/>
          <w:highlight w:val="none"/>
        </w:rPr>
        <w:t xml:space="preserve">。</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4.8接收质疑函的方式：书面形式（当场送达或邮寄方式）。</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联系方式详见采购公告。</w:t>
      </w:r>
      <w:r/>
    </w:p>
    <w:p>
      <w:pPr>
        <w:pStyle w:val="684"/>
        <w:ind w:left="0" w:firstLine="482"/>
        <w:spacing w:line="360" w:lineRule="auto"/>
        <w:rPr>
          <w:rFonts w:hint="eastAsia" w:ascii="宋体" w:hAnsi="宋体" w:eastAsia="宋体" w:cs="宋体"/>
          <w:b/>
          <w:color w:val="auto"/>
          <w:sz w:val="24"/>
          <w:szCs w:val="24"/>
          <w:highlight w:val="none"/>
        </w:rPr>
      </w:pPr>
      <w:r/>
      <w:bookmarkStart w:id="39" w:name="_Toc31942"/>
      <w:r>
        <w:rPr>
          <w:rFonts w:hint="eastAsia" w:ascii="宋体" w:hAnsi="宋体" w:eastAsia="宋体" w:cs="宋体"/>
          <w:b/>
          <w:color w:val="auto"/>
          <w:sz w:val="24"/>
          <w:szCs w:val="24"/>
          <w:highlight w:val="none"/>
        </w:rPr>
        <w:t xml:space="preserve">9.现场踏勘及</w:t>
      </w:r>
      <w:r>
        <w:rPr>
          <w:rFonts w:hint="eastAsia" w:ascii="宋体" w:hAnsi="宋体" w:eastAsia="宋体" w:cs="宋体"/>
          <w:b/>
          <w:color w:val="auto"/>
          <w:sz w:val="24"/>
          <w:szCs w:val="24"/>
          <w:highlight w:val="none"/>
          <w:shd w:val="clear" w:color="auto" w:fill="ffffff"/>
        </w:rPr>
        <w:t xml:space="preserve">集中现场考察</w:t>
      </w:r>
      <w:r/>
    </w:p>
    <w:p>
      <w:pPr>
        <w:pStyle w:val="684"/>
        <w:ind w:left="0"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9.1</w:t>
      </w:r>
      <w:bookmarkEnd w:id="39"/>
      <w:r>
        <w:rPr>
          <w:rFonts w:hint="eastAsia" w:ascii="宋体" w:hAnsi="宋体" w:eastAsia="宋体" w:cs="宋体"/>
          <w:b/>
          <w:color w:val="auto"/>
          <w:sz w:val="24"/>
          <w:szCs w:val="24"/>
          <w:highlight w:val="none"/>
        </w:rPr>
        <w:t xml:space="preserve">现场踏勘</w:t>
      </w:r>
      <w:r/>
    </w:p>
    <w:p>
      <w:pPr>
        <w:pStyle w:val="684"/>
        <w:ind w:left="0"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9.1.1本项目不组织统一</w:t>
      </w:r>
      <w:r>
        <w:rPr>
          <w:rFonts w:hint="eastAsia" w:ascii="宋体" w:hAnsi="宋体" w:eastAsia="宋体" w:cs="宋体"/>
          <w:b/>
          <w:color w:val="auto"/>
          <w:sz w:val="24"/>
          <w:szCs w:val="24"/>
          <w:highlight w:val="none"/>
        </w:rPr>
        <w:t xml:space="preserve">现场踏勘</w:t>
      </w:r>
      <w:r>
        <w:rPr>
          <w:rFonts w:hint="eastAsia" w:ascii="宋体" w:hAnsi="宋体" w:eastAsia="宋体" w:cs="宋体"/>
          <w:b/>
          <w:bCs/>
          <w:color w:val="auto"/>
          <w:sz w:val="24"/>
          <w:szCs w:val="24"/>
          <w:highlight w:val="none"/>
        </w:rPr>
        <w:t xml:space="preserve">。</w:t>
      </w:r>
      <w:r/>
    </w:p>
    <w:p>
      <w:pPr>
        <w:pStyle w:val="684"/>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9.1.2</w:t>
      </w:r>
      <w:r>
        <w:rPr>
          <w:rFonts w:hint="eastAsia" w:ascii="宋体" w:hAnsi="宋体" w:eastAsia="宋体" w:cs="宋体"/>
          <w:color w:val="auto"/>
          <w:sz w:val="24"/>
          <w:szCs w:val="24"/>
          <w:highlight w:val="none"/>
          <w:shd w:val="clear" w:color="auto" w:fill="ffffff"/>
        </w:rPr>
        <w:t xml:space="preserve">供应商可自行对有关现场和周围环境进行踏勘，以获取编制投标（响应）文件和签署合同所需的信息，踏勘现场所发生的费用由供应商自己承担，采购人不对因此造成的任何后果承担责任。</w:t>
      </w:r>
      <w:r/>
    </w:p>
    <w:p>
      <w:pPr>
        <w:pStyle w:val="684"/>
        <w:ind w:left="0"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9.2</w:t>
      </w:r>
      <w:r>
        <w:rPr>
          <w:rFonts w:hint="eastAsia" w:ascii="宋体" w:hAnsi="宋体" w:eastAsia="宋体" w:cs="宋体"/>
          <w:b/>
          <w:color w:val="auto"/>
          <w:sz w:val="24"/>
          <w:szCs w:val="24"/>
          <w:highlight w:val="none"/>
          <w:shd w:val="clear" w:color="auto" w:fill="ffffff"/>
        </w:rPr>
        <w:t xml:space="preserve">集中现场考察</w:t>
      </w:r>
      <w:r/>
    </w:p>
    <w:p>
      <w:p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本项目按以下第</w:t>
      </w:r>
      <w:r>
        <w:rPr>
          <w:rFonts w:hint="eastAsia" w:ascii="宋体" w:hAnsi="宋体" w:eastAsia="宋体" w:cs="宋体"/>
          <w:color w:val="auto"/>
          <w:sz w:val="24"/>
          <w:szCs w:val="24"/>
          <w:highlight w:val="none"/>
          <w:u w:val="single"/>
        </w:rPr>
        <w:t xml:space="preserve">①</w:t>
      </w:r>
      <w:r>
        <w:rPr>
          <w:rFonts w:hint="eastAsia" w:ascii="宋体" w:hAnsi="宋体" w:eastAsia="宋体" w:cs="宋体"/>
          <w:color w:val="auto"/>
          <w:sz w:val="24"/>
          <w:szCs w:val="24"/>
          <w:highlight w:val="none"/>
        </w:rPr>
        <w:t xml:space="preserve">种方式组织集中现场考察：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①采购人不组织集中现场考察；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②采购人组织集中现场考察，请供应商持在“苏采云”系统中下载本项目采购文件的</w:t>
      </w:r>
      <w:r>
        <w:rPr>
          <w:rFonts w:hint="eastAsia" w:ascii="宋体" w:hAnsi="宋体" w:eastAsia="宋体" w:cs="宋体"/>
          <w:b/>
          <w:color w:val="auto"/>
          <w:sz w:val="24"/>
          <w:szCs w:val="24"/>
          <w:highlight w:val="none"/>
        </w:rPr>
        <w:t xml:space="preserve">《投标供应商确认函》</w:t>
      </w:r>
      <w:r>
        <w:rPr>
          <w:rFonts w:hint="eastAsia" w:ascii="宋体" w:hAnsi="宋体" w:eastAsia="宋体" w:cs="宋体"/>
          <w:color w:val="auto"/>
          <w:sz w:val="24"/>
          <w:szCs w:val="24"/>
          <w:highlight w:val="none"/>
        </w:rPr>
        <w:t xml:space="preserve">，按以下时间地点参加集中现场考察：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集合时间：</w:t>
      </w:r>
      <w:r>
        <w:rPr>
          <w:rFonts w:hint="eastAsia" w:ascii="宋体" w:hAnsi="宋体" w:eastAsia="宋体" w:cs="宋体"/>
          <w:color w:val="auto"/>
          <w:sz w:val="24"/>
          <w:szCs w:val="24"/>
          <w:highlight w:val="none"/>
          <w:u w:val="single"/>
        </w:rPr>
        <w:t xml:space="preserve">/年/月/日/时/分（北京时间）</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集合地点：</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pStyle w:val="684"/>
        <w:ind w:left="0"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请供应商安排好行程，不得迟到。未提供《投标供应商确认函》或迟到者，恕不接待。</w:t>
      </w:r>
      <w:r/>
    </w:p>
    <w:p>
      <w:pPr>
        <w:pStyle w:val="684"/>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9.2.1根据自身投标（响应）需要，供应商可对项目相关情况进行考察，以获取编制投标（响应）文件和签署合同所需的信息。考察现场所发生的费用由供应商自己承担。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9.2.3经采购人允许，供应商可为考察目的进入采购人的项目现场，但供应商不得因此使采购人承担有关的责任和蒙受损失。供应商应承担考察现场的责任和风险。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9.2.4供应商应在现场考察时，熟悉现场及本项目的背景概况等情况，以获得一切可能影响其投标（响应）的直接资料。供应商中标（成交）后，不得以不完全了解情况为理由而向采购人或采购代理机构提出任何索赔的要求，对此采购人或采购代理机构不承担任何责任并将不作任何答复与考虑。</w:t>
      </w:r>
      <w:r/>
    </w:p>
    <w:p>
      <w:pPr>
        <w:ind w:firstLine="480"/>
        <w:spacing w:line="360" w:lineRule="auto"/>
        <w:tabs>
          <w:tab w:val="left" w:pos="8930" w:leader="none"/>
          <w:tab w:val="left" w:pos="9306" w:leader="none"/>
        </w:tabs>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9.2.5由于未进行现场考察造成的任何问题由供应商自行承担。</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10.提示与要求</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10.1磋商供应商应仔细阅读采购文件的所有内容，按采购文件的要求提供（上传）响应文件，并保证所提供的全部资料的真实性，以使其对采购文件作出实质性响应，否则，其磋商响应文件可能被拒绝。</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10.2无论是否递交（上传）磋商响应文件，供应商都应将采购文件及以后的所有通知、文件等视为保密文件。</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11.响应文件计量单位和使用文字</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11.1响应文件中所使用的计量单位，除采购文件中有特殊要求外，均应使用中华人民共和国法定计量单位。</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11.2响应文件应使用中文编制，响应文件中必须使用其他文字的，必须附有中文译本。对于未附有中文译本和中文译本不准确的响应文件可能引起的对供应商不利的后果，</w:t>
      </w:r>
      <w:r>
        <w:rPr>
          <w:rFonts w:hint="eastAsia" w:ascii="宋体" w:hAnsi="宋体" w:eastAsia="宋体" w:cs="宋体"/>
          <w:color w:val="auto"/>
          <w:sz w:val="24"/>
          <w:szCs w:val="24"/>
          <w:highlight w:val="none"/>
          <w:shd w:val="clear" w:color="auto" w:fill="ffffff"/>
        </w:rPr>
        <w:t xml:space="preserve">采购人或采购代理机构概不负责</w:t>
      </w:r>
      <w:r>
        <w:rPr>
          <w:rFonts w:hint="eastAsia" w:ascii="宋体" w:hAnsi="宋体" w:eastAsia="宋体" w:cs="宋体"/>
          <w:color w:val="auto"/>
          <w:sz w:val="24"/>
          <w:szCs w:val="24"/>
          <w:highlight w:val="none"/>
        </w:rPr>
        <w:t xml:space="preserve">。</w:t>
      </w:r>
      <w:r/>
    </w:p>
    <w:p>
      <w:pPr>
        <w:ind w:firstLine="482"/>
        <w:spacing w:line="360" w:lineRule="auto"/>
        <w:tabs>
          <w:tab w:val="left" w:pos="75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12.响应文件组成（部分格式见第三章）</w:t>
      </w:r>
      <w:r/>
    </w:p>
    <w:p>
      <w:pPr>
        <w:ind w:firstLine="482"/>
        <w:spacing w:line="360" w:lineRule="auto"/>
        <w:tabs>
          <w:tab w:val="left" w:pos="75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12.1响应文件报价部分：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12.1.1封面；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12.1.2开标一览表（第一次报价），具体按照“苏采云”系统要求填报；</w:t>
      </w:r>
      <w:r/>
    </w:p>
    <w:p>
      <w:p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12.1.3</w:t>
      </w:r>
      <w:r>
        <w:rPr>
          <w:rFonts w:hint="eastAsia" w:ascii="宋体" w:hAnsi="宋体" w:eastAsia="宋体" w:cs="宋体"/>
          <w:color w:val="auto"/>
          <w:sz w:val="24"/>
          <w:szCs w:val="24"/>
          <w:highlight w:val="none"/>
          <w:lang w:val="en-US" w:eastAsia="zh-CN"/>
        </w:rPr>
        <w:t xml:space="preserve">工程量清单报价表</w:t>
      </w:r>
      <w:r>
        <w:rPr>
          <w:rFonts w:hint="eastAsia" w:ascii="宋体" w:hAnsi="宋体" w:eastAsia="宋体" w:cs="宋体"/>
          <w:color w:val="auto"/>
          <w:sz w:val="24"/>
          <w:szCs w:val="24"/>
          <w:highlight w:val="none"/>
        </w:rPr>
        <w:t xml:space="preserve">（格式见第三章）；</w:t>
      </w:r>
      <w:r/>
    </w:p>
    <w:p>
      <w:pPr>
        <w:ind w:firstLine="482"/>
        <w:spacing w:line="360" w:lineRule="auto"/>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12.2资格审查响应文件</w:t>
      </w:r>
      <w:r>
        <w:rPr>
          <w:rFonts w:hint="eastAsia" w:ascii="宋体" w:hAnsi="宋体" w:eastAsia="宋体" w:cs="宋体"/>
          <w:b/>
          <w:color w:val="auto"/>
          <w:sz w:val="24"/>
          <w:szCs w:val="24"/>
          <w:highlight w:val="none"/>
        </w:rPr>
        <w:t xml:space="preserve">：</w:t>
      </w:r>
      <w:r/>
    </w:p>
    <w:tbl>
      <w:tblPr>
        <w:tblStyle w:val="681"/>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3"/>
        <w:gridCol w:w="4275"/>
        <w:gridCol w:w="4604"/>
      </w:tblGrid>
      <w:tr>
        <w:trPr>
          <w:trHeight w:val="567"/>
        </w:trPr>
        <w:tc>
          <w:tcPr>
            <w:tcW w:w="362" w:type="pct"/>
            <w:vAlign w:val="center"/>
            <w:textDirection w:val="lrTb"/>
            <w:noWrap w:val="false"/>
          </w:tcPr>
          <w:p>
            <w:pPr>
              <w:pStyle w:val="688"/>
              <w:jc w:val="center"/>
              <w:spacing w:after="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序号</w:t>
            </w:r>
            <w:r/>
          </w:p>
        </w:tc>
        <w:tc>
          <w:tcPr>
            <w:tcW w:w="2233" w:type="pct"/>
            <w:vAlign w:val="center"/>
            <w:textDirection w:val="lrTb"/>
            <w:noWrap w:val="false"/>
          </w:tcPr>
          <w:p>
            <w:pPr>
              <w:pStyle w:val="688"/>
              <w:jc w:val="center"/>
              <w:spacing w:after="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评审项</w:t>
            </w:r>
            <w:r/>
          </w:p>
        </w:tc>
        <w:tc>
          <w:tcPr>
            <w:tcW w:w="2403" w:type="pct"/>
            <w:vAlign w:val="center"/>
            <w:textDirection w:val="lrTb"/>
            <w:noWrap w:val="false"/>
          </w:tcPr>
          <w:p>
            <w:pPr>
              <w:pStyle w:val="688"/>
              <w:jc w:val="center"/>
              <w:spacing w:after="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评审要求</w:t>
            </w:r>
            <w:r/>
          </w:p>
        </w:tc>
      </w:tr>
      <w:tr>
        <w:trPr>
          <w:trHeight w:val="567"/>
        </w:trPr>
        <w:tc>
          <w:tcPr>
            <w:gridSpan w:val="3"/>
            <w:tcW w:w="5000" w:type="pct"/>
            <w:vAlign w:val="center"/>
            <w:textDirection w:val="lrTb"/>
            <w:noWrap w:val="false"/>
          </w:tcPr>
          <w:p>
            <w:pPr>
              <w:pStyle w:val="688"/>
              <w:jc w:val="center"/>
              <w:spacing w:after="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一、基本资格条件</w:t>
            </w:r>
            <w:r/>
          </w:p>
        </w:tc>
      </w:tr>
      <w:tr>
        <w:trPr>
          <w:trHeight w:val="567"/>
        </w:trPr>
        <w:tc>
          <w:tcPr>
            <w:tcW w:w="362" w:type="pct"/>
            <w:vAlign w:val="center"/>
            <w:textDirection w:val="lrTb"/>
            <w:noWrap w:val="false"/>
          </w:tcPr>
          <w:p>
            <w:pPr>
              <w:pStyle w:val="688"/>
              <w:jc w:val="center"/>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shd w:val="clear" w:color="auto" w:fill="ffffff"/>
              </w:rPr>
              <w:t xml:space="preserve">1</w:t>
            </w:r>
            <w:r/>
          </w:p>
        </w:tc>
        <w:tc>
          <w:tcPr>
            <w:tcW w:w="2233"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具有独立承担民事责任的能力</w:t>
            </w:r>
            <w:r/>
          </w:p>
        </w:tc>
        <w:tc>
          <w:tcPr>
            <w:tcW w:w="2403"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供应商提供包括法人或者其他组织的营业执照等证明文件，自然人的</w:t>
            </w:r>
            <w:r>
              <w:rPr>
                <w:rFonts w:hint="eastAsia" w:ascii="宋体" w:hAnsi="宋体" w:eastAsia="宋体" w:cs="宋体"/>
                <w:color w:val="auto"/>
                <w:szCs w:val="21"/>
                <w:highlight w:val="none"/>
                <w:lang w:eastAsia="zh"/>
              </w:rPr>
              <w:t xml:space="preserve">提供</w:t>
            </w:r>
            <w:r>
              <w:rPr>
                <w:rFonts w:hint="eastAsia" w:ascii="宋体" w:hAnsi="宋体" w:eastAsia="宋体" w:cs="宋体"/>
                <w:color w:val="auto"/>
                <w:szCs w:val="21"/>
                <w:highlight w:val="none"/>
              </w:rPr>
              <w:t xml:space="preserve">身份证明。</w:t>
            </w:r>
            <w:r/>
          </w:p>
        </w:tc>
      </w:tr>
      <w:tr>
        <w:trPr>
          <w:trHeight w:val="567"/>
        </w:trPr>
        <w:tc>
          <w:tcPr>
            <w:tcW w:w="362" w:type="pct"/>
            <w:vAlign w:val="center"/>
            <w:textDirection w:val="lrTb"/>
            <w:noWrap w:val="false"/>
          </w:tcPr>
          <w:p>
            <w:pPr>
              <w:pStyle w:val="688"/>
              <w:jc w:val="center"/>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2233"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具有良好的商业信誉和健全的财务会计制度</w:t>
            </w:r>
            <w:r/>
          </w:p>
        </w:tc>
        <w:tc>
          <w:tcPr>
            <w:tcW w:w="2403"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供应商为法人的，应提供最近一期</w:t>
            </w:r>
            <w:r>
              <w:rPr>
                <w:rFonts w:hint="eastAsia" w:ascii="宋体" w:hAnsi="宋体" w:eastAsia="宋体" w:cs="宋体"/>
                <w:b/>
                <w:bCs/>
                <w:color w:val="auto"/>
                <w:szCs w:val="21"/>
                <w:highlight w:val="none"/>
              </w:rPr>
              <w:t xml:space="preserve">经审计的财务报告</w:t>
            </w:r>
            <w:r>
              <w:rPr>
                <w:rFonts w:hint="eastAsia" w:ascii="宋体" w:hAnsi="宋体" w:eastAsia="宋体" w:cs="宋体"/>
                <w:color w:val="auto"/>
                <w:szCs w:val="21"/>
                <w:highlight w:val="none"/>
              </w:rPr>
              <w:t xml:space="preserve">，或基本开户银行出具的银行资信证明，或财政部门认可的政府采购专业担保机构出具的投标担保函；部分其他组织、自然人，若没有财务报告，可以提供银行出具的资信证明。</w:t>
            </w:r>
            <w:r/>
          </w:p>
        </w:tc>
      </w:tr>
      <w:tr>
        <w:trPr>
          <w:trHeight w:val="567"/>
        </w:trPr>
        <w:tc>
          <w:tcPr>
            <w:tcW w:w="362" w:type="pct"/>
            <w:vAlign w:val="center"/>
            <w:textDirection w:val="lrTb"/>
            <w:noWrap w:val="false"/>
          </w:tcPr>
          <w:p>
            <w:pPr>
              <w:pStyle w:val="688"/>
              <w:jc w:val="center"/>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2233"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具有履行合同所必需的设备和专业技术能力</w:t>
            </w:r>
            <w:r/>
          </w:p>
        </w:tc>
        <w:tc>
          <w:tcPr>
            <w:tcW w:w="2403"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供应商提供设备清单、相关技术人员的职称证书和用工合同或</w:t>
            </w:r>
            <w:r>
              <w:rPr>
                <w:rFonts w:hint="eastAsia" w:ascii="宋体" w:hAnsi="宋体" w:cs="宋体"/>
                <w:color w:val="auto"/>
                <w:szCs w:val="21"/>
                <w:highlight w:val="none"/>
                <w:lang w:val="en-US" w:eastAsia="zh-CN"/>
              </w:rPr>
              <w:t xml:space="preserve">提供</w:t>
            </w:r>
            <w:r>
              <w:rPr>
                <w:rFonts w:hint="eastAsia" w:ascii="宋体" w:hAnsi="宋体" w:eastAsia="宋体" w:cs="宋体"/>
                <w:color w:val="auto"/>
                <w:szCs w:val="21"/>
                <w:highlight w:val="none"/>
                <w:shd w:val="clear" w:color="auto" w:fill="ffffff"/>
              </w:rPr>
              <w:t xml:space="preserve">具有履行合同所必需的设备和专业技术能力的承诺书（格式自拟）。</w:t>
            </w:r>
            <w:r/>
          </w:p>
        </w:tc>
      </w:tr>
      <w:tr>
        <w:trPr>
          <w:trHeight w:val="567"/>
        </w:trPr>
        <w:tc>
          <w:tcPr>
            <w:tcW w:w="362" w:type="pct"/>
            <w:vAlign w:val="center"/>
            <w:textDirection w:val="lrTb"/>
            <w:noWrap w:val="false"/>
          </w:tcPr>
          <w:p>
            <w:pPr>
              <w:pStyle w:val="688"/>
              <w:jc w:val="center"/>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2233"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有依法缴纳税收和社会保障资金的良好记录</w:t>
            </w:r>
            <w:r/>
          </w:p>
        </w:tc>
        <w:tc>
          <w:tcPr>
            <w:tcW w:w="2403" w:type="pct"/>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供应商提供参加本次政府采购活动前一段时间内依法缴纳税收和社会保险的凭据；依法免税或不需要缴纳社会保障资金的供应商，应提供相应文件证明其依法免税或不需要缴纳社会保障资金。</w:t>
            </w:r>
            <w:r/>
          </w:p>
        </w:tc>
      </w:tr>
      <w:tr>
        <w:trPr>
          <w:trHeight w:val="567"/>
        </w:trPr>
        <w:tc>
          <w:tcPr>
            <w:tcW w:w="362" w:type="pct"/>
            <w:vAlign w:val="center"/>
            <w:textDirection w:val="lrTb"/>
            <w:noWrap w:val="false"/>
          </w:tcPr>
          <w:p>
            <w:pPr>
              <w:pStyle w:val="688"/>
              <w:jc w:val="center"/>
              <w:spacing w:after="0"/>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5</w:t>
            </w:r>
            <w:r/>
          </w:p>
        </w:tc>
        <w:tc>
          <w:tcPr>
            <w:tcW w:w="2233"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参加政府采购活动前三年内，在经营活动中没有重大违法记录</w:t>
            </w:r>
            <w:r/>
          </w:p>
        </w:tc>
        <w:tc>
          <w:tcPr>
            <w:tcW w:w="2403"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供应商提供参加政府采购活动前三年内在经营活动中没有重大违法记录的书面声明。</w:t>
            </w:r>
            <w:r/>
          </w:p>
        </w:tc>
      </w:tr>
      <w:tr>
        <w:trPr>
          <w:trHeight w:val="567"/>
        </w:trPr>
        <w:tc>
          <w:tcPr>
            <w:tcW w:w="362" w:type="pct"/>
            <w:vAlign w:val="center"/>
            <w:textDirection w:val="lrTb"/>
            <w:noWrap w:val="false"/>
          </w:tcPr>
          <w:p>
            <w:pPr>
              <w:pStyle w:val="688"/>
              <w:jc w:val="center"/>
              <w:spacing w:after="0"/>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6</w:t>
            </w:r>
            <w:r/>
          </w:p>
        </w:tc>
        <w:tc>
          <w:tcPr>
            <w:tcW w:w="2233"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法律、行政法规规定的其他条件</w:t>
            </w:r>
            <w:r/>
          </w:p>
        </w:tc>
        <w:tc>
          <w:tcPr>
            <w:tcW w:w="2403"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符合法律、行政法规规定的其他条件的证明材料或书面声明。</w:t>
            </w:r>
            <w:r/>
          </w:p>
        </w:tc>
      </w:tr>
      <w:tr>
        <w:trPr>
          <w:trHeight w:val="567"/>
        </w:trPr>
        <w:tc>
          <w:tcPr>
            <w:gridSpan w:val="3"/>
            <w:tcW w:w="5000" w:type="pct"/>
            <w:vAlign w:val="center"/>
            <w:textDirection w:val="lrTb"/>
            <w:noWrap w:val="false"/>
          </w:tcPr>
          <w:p>
            <w:pPr>
              <w:pStyle w:val="688"/>
              <w:jc w:val="center"/>
              <w:spacing w:after="0"/>
              <w:rPr>
                <w:rFonts w:hint="eastAsia" w:ascii="宋体" w:hAnsi="宋体" w:eastAsia="宋体" w:cs="宋体"/>
                <w:color w:val="auto"/>
                <w:szCs w:val="21"/>
                <w:highlight w:val="none"/>
                <w:shd w:val="clear" w:color="auto" w:fill="ffffff"/>
              </w:rPr>
            </w:pPr>
            <w:r>
              <w:rPr>
                <w:rFonts w:hint="eastAsia" w:ascii="宋体" w:hAnsi="宋体" w:eastAsia="宋体" w:cs="宋体"/>
                <w:b/>
                <w:color w:val="auto"/>
                <w:szCs w:val="21"/>
                <w:highlight w:val="none"/>
              </w:rPr>
              <w:t xml:space="preserve">二、落实政府采购政策需满足的资格要求</w:t>
            </w:r>
            <w:r/>
          </w:p>
        </w:tc>
      </w:tr>
      <w:tr>
        <w:trPr>
          <w:trHeight w:val="567"/>
        </w:trPr>
        <w:tc>
          <w:tcPr>
            <w:tcW w:w="362" w:type="pct"/>
            <w:vAlign w:val="center"/>
            <w:textDirection w:val="lrTb"/>
            <w:noWrap w:val="false"/>
          </w:tcPr>
          <w:p>
            <w:pPr>
              <w:pStyle w:val="688"/>
              <w:jc w:val="center"/>
              <w:spacing w:after="0"/>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1</w:t>
            </w:r>
            <w:r/>
          </w:p>
        </w:tc>
        <w:tc>
          <w:tcPr>
            <w:tcW w:w="2233" w:type="pct"/>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根据《政府采购促进中小企业发展管理办法》的相关规定，本项目专门面向中小企业采购，所属行业为建筑业，供应商应为中小微企业、监狱企业、残疾人福利性单位</w:t>
            </w:r>
            <w:r/>
          </w:p>
        </w:tc>
        <w:tc>
          <w:tcPr>
            <w:tcW w:w="2403" w:type="pct"/>
            <w:vAlign w:val="center"/>
            <w:textDirection w:val="lrTb"/>
            <w:noWrap w:val="false"/>
          </w:tcPr>
          <w:p>
            <w:pPr>
              <w:pStyle w:val="688"/>
              <w:jc w:val="left"/>
              <w:spacing w:after="0"/>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rPr>
              <w:t xml:space="preserve">供应商</w:t>
            </w:r>
            <w:r>
              <w:rPr>
                <w:rFonts w:hint="eastAsia" w:ascii="宋体" w:hAnsi="宋体" w:eastAsia="宋体" w:cs="宋体"/>
                <w:color w:val="auto"/>
                <w:szCs w:val="21"/>
                <w:highlight w:val="none"/>
                <w:shd w:val="clear" w:color="auto" w:fill="ffffff"/>
              </w:rPr>
              <w:t xml:space="preserve">提供《中小企业声明函》或《残疾人福利性单位声明函》或省级以上监狱管理局、戒毒管理局（含新疆生产建设兵团）出具的属于监狱企业的证明文件。</w:t>
            </w:r>
            <w:r/>
          </w:p>
          <w:p>
            <w:pPr>
              <w:pStyle w:val="688"/>
              <w:jc w:val="left"/>
              <w:spacing w:after="0"/>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rPr>
              <w:t xml:space="preserve">注：若供应商提供的以上材料为虚假声明则视同提供虚假材料，按《政府采购法》相关规定处理并报请政府监管部门给予行政处罚</w:t>
            </w:r>
            <w:r>
              <w:rPr>
                <w:rFonts w:hint="eastAsia" w:ascii="宋体" w:hAnsi="宋体" w:eastAsia="宋体" w:cs="宋体"/>
                <w:color w:val="auto"/>
                <w:sz w:val="24"/>
                <w:highlight w:val="none"/>
              </w:rPr>
              <w:t xml:space="preserve">。</w:t>
            </w:r>
            <w:r/>
          </w:p>
        </w:tc>
      </w:tr>
      <w:tr>
        <w:trPr>
          <w:trHeight w:val="567"/>
        </w:trPr>
        <w:tc>
          <w:tcPr>
            <w:gridSpan w:val="3"/>
            <w:tcW w:w="5000" w:type="pct"/>
            <w:vAlign w:val="center"/>
            <w:textDirection w:val="lrTb"/>
            <w:noWrap w:val="false"/>
          </w:tcPr>
          <w:p>
            <w:pPr>
              <w:pStyle w:val="688"/>
              <w:jc w:val="center"/>
              <w:spacing w:after="0"/>
              <w:rPr>
                <w:rFonts w:hint="eastAsia" w:ascii="宋体" w:hAnsi="宋体" w:eastAsia="宋体" w:cs="宋体"/>
                <w:color w:val="auto"/>
                <w:szCs w:val="21"/>
                <w:highlight w:val="none"/>
              </w:rPr>
            </w:pPr>
            <w:r>
              <w:rPr>
                <w:rFonts w:hint="eastAsia" w:ascii="宋体" w:hAnsi="宋体" w:eastAsia="宋体" w:cs="宋体"/>
                <w:b/>
                <w:bCs/>
                <w:color w:val="auto"/>
                <w:sz w:val="22"/>
                <w:szCs w:val="22"/>
                <w:highlight w:val="none"/>
                <w:shd w:val="clear" w:color="auto" w:fill="ffffff"/>
              </w:rPr>
              <w:t xml:space="preserve">三、本项目的特定资格要求</w:t>
            </w:r>
            <w:r/>
          </w:p>
        </w:tc>
      </w:tr>
      <w:tr>
        <w:trPr>
          <w:trHeight w:val="567"/>
        </w:trPr>
        <w:tc>
          <w:tcPr>
            <w:tcW w:w="362" w:type="pct"/>
            <w:vAlign w:val="center"/>
            <w:textDirection w:val="lrTb"/>
            <w:noWrap w:val="false"/>
          </w:tcPr>
          <w:p>
            <w:pPr>
              <w:pStyle w:val="688"/>
              <w:jc w:val="center"/>
              <w:spacing w:after="0"/>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1</w:t>
            </w:r>
            <w:r/>
          </w:p>
        </w:tc>
        <w:tc>
          <w:tcPr>
            <w:tcW w:w="2233"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具有有效的</w:t>
            </w:r>
            <w:r>
              <w:rPr>
                <w:rFonts w:hint="eastAsia" w:ascii="宋体" w:hAnsi="宋体" w:cs="宋体"/>
                <w:color w:val="auto"/>
                <w:szCs w:val="21"/>
                <w:highlight w:val="none"/>
                <w:lang w:eastAsia="zh-CN"/>
              </w:rPr>
              <w:t xml:space="preserve">城市及道路照明工程专业承包三级及以上资质</w:t>
            </w:r>
            <w:r>
              <w:rPr>
                <w:rFonts w:hint="eastAsia" w:ascii="宋体" w:hAnsi="宋体" w:eastAsia="宋体" w:cs="宋体"/>
                <w:color w:val="auto"/>
                <w:szCs w:val="21"/>
                <w:highlight w:val="none"/>
              </w:rPr>
              <w:t xml:space="preserve">，具备安全生产条件，并取得有效期内的安全生产许可证</w:t>
            </w:r>
            <w:r/>
          </w:p>
        </w:tc>
        <w:tc>
          <w:tcPr>
            <w:tcW w:w="2403" w:type="pct"/>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供应商提供有效的</w:t>
            </w:r>
            <w:r>
              <w:rPr>
                <w:rFonts w:hint="eastAsia" w:ascii="宋体" w:hAnsi="宋体" w:cs="宋体"/>
                <w:color w:val="auto"/>
                <w:szCs w:val="21"/>
                <w:highlight w:val="none"/>
                <w:lang w:eastAsia="zh-CN"/>
              </w:rPr>
              <w:t xml:space="preserve">城市及道路照明工程专业承包三级及以上资质</w:t>
            </w:r>
            <w:r>
              <w:rPr>
                <w:rFonts w:hint="eastAsia" w:ascii="宋体" w:hAnsi="宋体" w:eastAsia="宋体" w:cs="宋体"/>
                <w:color w:val="auto"/>
                <w:szCs w:val="21"/>
                <w:highlight w:val="none"/>
              </w:rPr>
              <w:t xml:space="preserve">证书和《安全生产许可证》扫描件。</w:t>
            </w:r>
            <w:r/>
          </w:p>
        </w:tc>
      </w:tr>
      <w:tr>
        <w:trPr>
          <w:trHeight w:val="567"/>
        </w:trPr>
        <w:tc>
          <w:tcPr>
            <w:tcW w:w="362" w:type="pct"/>
            <w:vAlign w:val="center"/>
            <w:textDirection w:val="lrTb"/>
            <w:noWrap w:val="false"/>
          </w:tcPr>
          <w:p>
            <w:pPr>
              <w:pStyle w:val="688"/>
              <w:jc w:val="center"/>
              <w:spacing w:after="0"/>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2</w:t>
            </w:r>
            <w:r/>
          </w:p>
        </w:tc>
        <w:tc>
          <w:tcPr>
            <w:tcW w:w="2233"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拟选派项目负责人资质等级：</w:t>
            </w:r>
            <w:r>
              <w:rPr>
                <w:rFonts w:hint="eastAsia" w:ascii="宋体" w:hAnsi="宋体" w:cs="宋体"/>
                <w:color w:val="auto"/>
                <w:szCs w:val="21"/>
                <w:highlight w:val="none"/>
                <w:lang w:eastAsia="zh-CN"/>
              </w:rPr>
              <w:t xml:space="preserve">机电</w:t>
            </w:r>
            <w:r>
              <w:rPr>
                <w:rFonts w:hint="eastAsia" w:ascii="宋体" w:hAnsi="宋体" w:eastAsia="宋体" w:cs="宋体"/>
                <w:color w:val="auto"/>
                <w:szCs w:val="21"/>
                <w:highlight w:val="none"/>
              </w:rPr>
              <w:t xml:space="preserve">工程专业二级及以上建造师和《建筑施工企业项目负责人安全生产考核合格证书》（B证），且必须满足下列条件：</w:t>
            </w:r>
            <w:r/>
          </w:p>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（1）项目负责人不得同时在两个或者两个以上单位受聘或者执业（同时在两个及以上单位签订劳动合同或交纳社会保险或将本人执（职）业资格证书同时注册在两个及以上单位）。</w:t>
            </w:r>
            <w:r/>
          </w:p>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项目负责人是非变更后无在建工程，或项目负责人是变更后无在建工程（必须原合同工期已满且变更备案之日已满6个月），或因非成交单位原因致使工程项目停工或因故不能按期开工、且已办理了项目负责人解锁手续，或项目负责人有在建工程，但该在建工程与本次工程属于同一工程项目、同一项目批文、同一施工地点分段发包或分期施工的情况且总的工程规模在项目负责人执业范围之内。</w:t>
            </w:r>
            <w:r/>
          </w:p>
        </w:tc>
        <w:tc>
          <w:tcPr>
            <w:tcW w:w="2403" w:type="pct"/>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供应商提供项目负责人的</w:t>
            </w:r>
            <w:r>
              <w:rPr>
                <w:rFonts w:hint="eastAsia" w:ascii="宋体" w:hAnsi="宋体" w:cs="宋体"/>
                <w:color w:val="auto"/>
                <w:szCs w:val="21"/>
                <w:highlight w:val="none"/>
                <w:lang w:eastAsia="zh-CN"/>
              </w:rPr>
              <w:t xml:space="preserve">机电</w:t>
            </w:r>
            <w:r>
              <w:rPr>
                <w:rFonts w:hint="eastAsia" w:ascii="宋体" w:hAnsi="宋体" w:eastAsia="宋体" w:cs="宋体"/>
                <w:color w:val="auto"/>
                <w:szCs w:val="21"/>
                <w:highlight w:val="none"/>
              </w:rPr>
              <w:t xml:space="preserve">工程专业二级及以上建造师证书和《建筑施工企业项目负责人安全生产考核合格证书》（B证）；</w:t>
            </w:r>
            <w:r>
              <w:rPr>
                <w:rFonts w:hint="eastAsia" w:ascii="宋体" w:hAnsi="宋体" w:cs="宋体"/>
                <w:color w:val="auto"/>
                <w:szCs w:val="21"/>
                <w:highlight w:val="none"/>
                <w:lang w:val="en-US" w:eastAsia="zh-CN"/>
              </w:rPr>
              <w:t xml:space="preserve">以及</w:t>
            </w:r>
            <w:r>
              <w:rPr>
                <w:rFonts w:hint="eastAsia" w:ascii="宋体" w:hAnsi="宋体" w:eastAsia="宋体" w:cs="宋体"/>
                <w:color w:val="auto"/>
                <w:szCs w:val="21"/>
                <w:highlight w:val="none"/>
              </w:rPr>
              <w:t xml:space="preserve">《项目负责人无在建工程承诺书》。</w:t>
            </w:r>
            <w:r/>
          </w:p>
        </w:tc>
      </w:tr>
      <w:tr>
        <w:trPr>
          <w:trHeight w:val="567"/>
        </w:trPr>
        <w:tc>
          <w:tcPr>
            <w:tcW w:w="362" w:type="pct"/>
            <w:vAlign w:val="center"/>
            <w:textDirection w:val="lrTb"/>
            <w:noWrap w:val="false"/>
          </w:tcPr>
          <w:p>
            <w:pPr>
              <w:pStyle w:val="688"/>
              <w:jc w:val="center"/>
              <w:spacing w:after="0"/>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3</w:t>
            </w:r>
            <w:r/>
          </w:p>
        </w:tc>
        <w:tc>
          <w:tcPr>
            <w:tcW w:w="2233"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未被“信用中国”网站（www.creditchina.gov.cn）列入失信被执行人、重大税收违法案件当事人名单、政府采购严重失信行为记录名单</w:t>
            </w:r>
            <w:r/>
          </w:p>
        </w:tc>
        <w:tc>
          <w:tcPr>
            <w:tcW w:w="2403" w:type="pct"/>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供应商提供网站下载的信用报告或网页查询截图。</w:t>
            </w:r>
            <w:r/>
          </w:p>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采购代理机构按照采购文件第二章“信用查询”要求执行。</w:t>
            </w:r>
            <w:r/>
          </w:p>
        </w:tc>
      </w:tr>
    </w:tbl>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以上资格审查的要求和必须提供的材料是对供应商资格审查、质疑身份认定的依据。</w:t>
      </w:r>
      <w:r>
        <w:rPr>
          <w:rFonts w:hint="eastAsia" w:ascii="宋体" w:hAnsi="宋体" w:cs="宋体"/>
          <w:b/>
          <w:bCs/>
          <w:color w:val="auto"/>
          <w:sz w:val="24"/>
          <w:szCs w:val="24"/>
          <w:highlight w:val="none"/>
          <w:lang w:val="en-US" w:eastAsia="zh-CN"/>
        </w:rPr>
        <w:t xml:space="preserve">所有</w:t>
      </w:r>
      <w:r>
        <w:rPr>
          <w:rFonts w:hint="eastAsia" w:ascii="宋体" w:hAnsi="宋体" w:eastAsia="宋体" w:cs="宋体"/>
          <w:b/>
          <w:color w:val="auto"/>
          <w:sz w:val="24"/>
          <w:szCs w:val="24"/>
          <w:highlight w:val="none"/>
        </w:rPr>
        <w:t xml:space="preserve">必须清晰可辨，供应商必须提供并盖章。</w:t>
      </w:r>
      <w:r>
        <w:rPr>
          <w:rFonts w:hint="eastAsia" w:ascii="宋体" w:hAnsi="宋体" w:eastAsia="宋体" w:cs="宋体"/>
          <w:b/>
          <w:color w:val="auto"/>
          <w:sz w:val="24"/>
          <w:szCs w:val="24"/>
          <w:highlight w:val="none"/>
          <w:u w:val="single"/>
        </w:rPr>
        <w:t xml:space="preserve">未按要求提供</w:t>
      </w:r>
      <w:r>
        <w:rPr>
          <w:rFonts w:hint="eastAsia" w:ascii="宋体" w:hAnsi="宋体" w:cs="宋体"/>
          <w:b/>
          <w:color w:val="auto"/>
          <w:sz w:val="24"/>
          <w:szCs w:val="24"/>
          <w:highlight w:val="none"/>
          <w:u w:val="single"/>
          <w:lang w:val="en-US" w:eastAsia="zh-CN"/>
        </w:rPr>
        <w:t xml:space="preserve">材料</w:t>
      </w:r>
      <w:r>
        <w:rPr>
          <w:rFonts w:hint="eastAsia" w:ascii="宋体" w:hAnsi="宋体" w:eastAsia="宋体" w:cs="宋体"/>
          <w:b/>
          <w:color w:val="auto"/>
          <w:sz w:val="24"/>
          <w:szCs w:val="24"/>
          <w:highlight w:val="none"/>
          <w:u w:val="single"/>
        </w:rPr>
        <w:t xml:space="preserve">的</w:t>
      </w:r>
      <w:r>
        <w:rPr>
          <w:rFonts w:hint="eastAsia" w:ascii="宋体" w:hAnsi="宋体" w:cs="宋体"/>
          <w:b/>
          <w:color w:val="auto"/>
          <w:sz w:val="24"/>
          <w:szCs w:val="24"/>
          <w:highlight w:val="none"/>
          <w:u w:val="single"/>
          <w:lang w:eastAsia="zh-CN"/>
        </w:rPr>
        <w:t xml:space="preserve">，</w:t>
      </w:r>
      <w:r>
        <w:rPr>
          <w:rFonts w:hint="eastAsia" w:ascii="宋体" w:hAnsi="宋体" w:eastAsia="宋体" w:cs="宋体"/>
          <w:b/>
          <w:color w:val="auto"/>
          <w:sz w:val="24"/>
          <w:szCs w:val="24"/>
          <w:highlight w:val="none"/>
          <w:u w:val="single"/>
        </w:rPr>
        <w:t xml:space="preserve">投标（响应）无效。</w:t>
      </w:r>
      <w:r/>
    </w:p>
    <w:p>
      <w:pPr>
        <w:pStyle w:val="767"/>
        <w:ind w:firstLine="482"/>
        <w:spacing w:after="0"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12.3符合性审查响应文件</w:t>
      </w:r>
      <w:r/>
    </w:p>
    <w:tbl>
      <w:tblPr>
        <w:tblStyle w:val="681"/>
        <w:tblW w:w="49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4"/>
        <w:gridCol w:w="4260"/>
        <w:gridCol w:w="4591"/>
      </w:tblGrid>
      <w:tr>
        <w:trPr>
          <w:trHeight w:val="567"/>
        </w:trPr>
        <w:tc>
          <w:tcPr>
            <w:tcW w:w="373" w:type="pct"/>
            <w:vAlign w:val="center"/>
            <w:textDirection w:val="lrTb"/>
            <w:noWrap w:val="false"/>
          </w:tcPr>
          <w:p>
            <w:pPr>
              <w:pStyle w:val="688"/>
              <w:jc w:val="center"/>
              <w:spacing w:after="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序号</w:t>
            </w:r>
            <w:r/>
          </w:p>
        </w:tc>
        <w:tc>
          <w:tcPr>
            <w:tcW w:w="2227" w:type="pct"/>
            <w:vAlign w:val="center"/>
            <w:textDirection w:val="lrTb"/>
            <w:noWrap w:val="false"/>
          </w:tcPr>
          <w:p>
            <w:pPr>
              <w:pStyle w:val="688"/>
              <w:jc w:val="center"/>
              <w:spacing w:after="0"/>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rPr>
              <w:t xml:space="preserve">评审项</w:t>
            </w:r>
            <w:r/>
          </w:p>
        </w:tc>
        <w:tc>
          <w:tcPr>
            <w:tcW w:w="2398" w:type="pct"/>
            <w:vAlign w:val="center"/>
            <w:textDirection w:val="lrTb"/>
            <w:noWrap w:val="false"/>
          </w:tcPr>
          <w:p>
            <w:pPr>
              <w:pStyle w:val="688"/>
              <w:jc w:val="center"/>
              <w:spacing w:after="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评审要求</w:t>
            </w:r>
            <w:r/>
          </w:p>
        </w:tc>
      </w:tr>
      <w:tr>
        <w:trPr>
          <w:trHeight w:val="567"/>
        </w:trPr>
        <w:tc>
          <w:tcPr>
            <w:gridSpan w:val="3"/>
            <w:tcW w:w="5000" w:type="pct"/>
            <w:vAlign w:val="center"/>
            <w:textDirection w:val="lrTb"/>
            <w:noWrap w:val="false"/>
          </w:tcPr>
          <w:p>
            <w:pPr>
              <w:pStyle w:val="688"/>
              <w:jc w:val="center"/>
              <w:spacing w:after="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一、报价要求</w:t>
            </w:r>
            <w:r/>
          </w:p>
        </w:tc>
      </w:tr>
      <w:tr>
        <w:trPr>
          <w:trHeight w:val="567"/>
        </w:trPr>
        <w:tc>
          <w:tcPr>
            <w:tcW w:w="373" w:type="pct"/>
            <w:vAlign w:val="center"/>
            <w:textDirection w:val="lrTb"/>
            <w:noWrap w:val="false"/>
          </w:tcPr>
          <w:p>
            <w:pPr>
              <w:pStyle w:val="688"/>
              <w:jc w:val="center"/>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2227"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供应商报价不得超出采购预算及最高限价</w:t>
            </w:r>
            <w:r/>
          </w:p>
        </w:tc>
        <w:tc>
          <w:tcPr>
            <w:tcW w:w="2398"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以响应文件报价为准(供应商无须单独提供资料)</w:t>
            </w:r>
            <w:r/>
          </w:p>
        </w:tc>
      </w:tr>
      <w:tr>
        <w:trPr>
          <w:trHeight w:val="567"/>
        </w:trPr>
        <w:tc>
          <w:tcPr>
            <w:gridSpan w:val="3"/>
            <w:tcW w:w="5000" w:type="pct"/>
            <w:vAlign w:val="center"/>
            <w:textDirection w:val="lrTb"/>
            <w:noWrap w:val="false"/>
          </w:tcPr>
          <w:p>
            <w:pPr>
              <w:pStyle w:val="688"/>
              <w:jc w:val="center"/>
              <w:spacing w:after="0"/>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二、商务要求</w:t>
            </w:r>
            <w:r/>
          </w:p>
        </w:tc>
      </w:tr>
      <w:tr>
        <w:trPr>
          <w:trHeight w:val="567"/>
        </w:trPr>
        <w:tc>
          <w:tcPr>
            <w:tcW w:w="373" w:type="pct"/>
            <w:vAlign w:val="center"/>
            <w:textDirection w:val="lrTb"/>
            <w:noWrap w:val="false"/>
          </w:tcPr>
          <w:p>
            <w:pPr>
              <w:pStyle w:val="688"/>
              <w:jc w:val="center"/>
              <w:spacing w:after="0"/>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1</w:t>
            </w:r>
            <w:r/>
          </w:p>
        </w:tc>
        <w:tc>
          <w:tcPr>
            <w:tcW w:w="2227" w:type="pct"/>
            <w:vAlign w:val="center"/>
            <w:textDirection w:val="lrTb"/>
            <w:noWrap w:val="false"/>
          </w:tcPr>
          <w:p>
            <w:pPr>
              <w:pStyle w:val="688"/>
              <w:jc w:val="left"/>
              <w:spacing w:after="0"/>
              <w:rPr>
                <w:rFonts w:hint="eastAsia" w:ascii="宋体" w:hAnsi="宋体" w:eastAsia="宋体" w:cs="宋体"/>
                <w:b/>
                <w:color w:val="auto"/>
                <w:szCs w:val="21"/>
                <w:highlight w:val="none"/>
              </w:rPr>
            </w:pPr>
            <w:r>
              <w:rPr>
                <w:rFonts w:hint="eastAsia" w:ascii="宋体" w:hAnsi="宋体" w:eastAsia="宋体" w:cs="宋体"/>
                <w:color w:val="auto"/>
                <w:szCs w:val="21"/>
                <w:highlight w:val="none"/>
                <w:lang w:val="en-US" w:eastAsia="zh-CN"/>
              </w:rPr>
              <w:t xml:space="preserve">磋商</w:t>
            </w:r>
            <w:r>
              <w:rPr>
                <w:rFonts w:hint="eastAsia" w:ascii="宋体" w:hAnsi="宋体" w:eastAsia="宋体" w:cs="宋体"/>
                <w:color w:val="auto"/>
                <w:szCs w:val="21"/>
                <w:highlight w:val="none"/>
              </w:rPr>
              <w:t xml:space="preserve">响应函</w:t>
            </w:r>
            <w:r/>
          </w:p>
        </w:tc>
        <w:tc>
          <w:tcPr>
            <w:tcW w:w="2398"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格式见第三章</w:t>
            </w:r>
            <w:r/>
          </w:p>
        </w:tc>
      </w:tr>
      <w:tr>
        <w:trPr>
          <w:trHeight w:val="567"/>
        </w:trPr>
        <w:tc>
          <w:tcPr>
            <w:tcW w:w="373" w:type="pct"/>
            <w:vAlign w:val="center"/>
            <w:textDirection w:val="lrTb"/>
            <w:noWrap w:val="false"/>
          </w:tcPr>
          <w:p>
            <w:pPr>
              <w:pStyle w:val="688"/>
              <w:jc w:val="center"/>
              <w:spacing w:after="0"/>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2</w:t>
            </w:r>
            <w:r/>
          </w:p>
        </w:tc>
        <w:tc>
          <w:tcPr>
            <w:tcW w:w="2227" w:type="pct"/>
            <w:vAlign w:val="center"/>
            <w:textDirection w:val="lrTb"/>
            <w:noWrap w:val="false"/>
          </w:tcPr>
          <w:p>
            <w:pPr>
              <w:pStyle w:val="688"/>
              <w:jc w:val="left"/>
              <w:spacing w:after="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供应商法定代表人身份证扫描件</w:t>
            </w:r>
            <w:r/>
          </w:p>
        </w:tc>
        <w:tc>
          <w:tcPr>
            <w:tcW w:w="2398"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67"/>
        </w:trPr>
        <w:tc>
          <w:tcPr>
            <w:tcW w:w="373" w:type="pct"/>
            <w:vAlign w:val="center"/>
            <w:textDirection w:val="lrTb"/>
            <w:noWrap w:val="false"/>
          </w:tcPr>
          <w:p>
            <w:pPr>
              <w:pStyle w:val="688"/>
              <w:jc w:val="center"/>
              <w:spacing w:after="0"/>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3</w:t>
            </w:r>
            <w:r/>
          </w:p>
        </w:tc>
        <w:tc>
          <w:tcPr>
            <w:tcW w:w="2227" w:type="pct"/>
            <w:vAlign w:val="center"/>
            <w:textDirection w:val="lrTb"/>
            <w:noWrap w:val="false"/>
          </w:tcPr>
          <w:p>
            <w:pPr>
              <w:pStyle w:val="688"/>
              <w:jc w:val="left"/>
              <w:spacing w:after="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法定代表人授权委托书、供应商代理人身份证扫描件及供应商为其缴纳的近一个月社保证明（如有授权）</w:t>
            </w:r>
            <w:r/>
          </w:p>
        </w:tc>
        <w:tc>
          <w:tcPr>
            <w:tcW w:w="2398"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授权委托书格式见第三章</w:t>
            </w:r>
            <w:r/>
          </w:p>
        </w:tc>
      </w:tr>
      <w:tr>
        <w:trPr>
          <w:trHeight w:val="567"/>
        </w:trPr>
        <w:tc>
          <w:tcPr>
            <w:tcW w:w="373" w:type="pct"/>
            <w:vAlign w:val="center"/>
            <w:textDirection w:val="lrTb"/>
            <w:noWrap w:val="false"/>
          </w:tcPr>
          <w:p>
            <w:pPr>
              <w:pStyle w:val="688"/>
              <w:jc w:val="center"/>
              <w:spacing w:after="0"/>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4</w:t>
            </w:r>
            <w:r/>
          </w:p>
        </w:tc>
        <w:tc>
          <w:tcPr>
            <w:tcW w:w="2227" w:type="pct"/>
            <w:vAlign w:val="center"/>
            <w:textDirection w:val="lrTb"/>
            <w:noWrap w:val="false"/>
          </w:tcPr>
          <w:p>
            <w:pPr>
              <w:pStyle w:val="688"/>
              <w:jc w:val="left"/>
              <w:spacing w:after="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供应商基本情况表</w:t>
            </w:r>
            <w:r/>
          </w:p>
        </w:tc>
        <w:tc>
          <w:tcPr>
            <w:tcW w:w="2398"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格式见第三章</w:t>
            </w:r>
            <w:r/>
          </w:p>
        </w:tc>
      </w:tr>
      <w:tr>
        <w:trPr>
          <w:trHeight w:val="567"/>
        </w:trPr>
        <w:tc>
          <w:tcPr>
            <w:tcW w:w="373" w:type="pct"/>
            <w:vAlign w:val="center"/>
            <w:textDirection w:val="lrTb"/>
            <w:noWrap w:val="false"/>
          </w:tcPr>
          <w:p>
            <w:pPr>
              <w:pStyle w:val="688"/>
              <w:jc w:val="center"/>
              <w:spacing w:after="0"/>
              <w:rPr>
                <w:rFonts w:hint="eastAsia" w:ascii="宋体" w:hAnsi="宋体" w:eastAsia="宋体" w:cs="宋体"/>
                <w:color w:val="auto"/>
                <w:szCs w:val="21"/>
                <w:highlight w:val="none"/>
                <w:shd w:val="clear" w:color="auto" w:fill="ffffff"/>
                <w:lang w:val="en-US" w:eastAsia="zh-CN"/>
              </w:rPr>
            </w:pPr>
            <w:r>
              <w:rPr>
                <w:rFonts w:hint="eastAsia" w:ascii="宋体" w:hAnsi="宋体" w:eastAsia="宋体" w:cs="宋体"/>
                <w:color w:val="auto"/>
                <w:szCs w:val="21"/>
                <w:highlight w:val="none"/>
                <w:shd w:val="clear" w:color="auto" w:fill="ffffff"/>
                <w:lang w:val="en-US" w:eastAsia="zh-CN"/>
              </w:rPr>
              <w:t xml:space="preserve">5</w:t>
            </w:r>
            <w:r/>
          </w:p>
        </w:tc>
        <w:tc>
          <w:tcPr>
            <w:tcW w:w="2227"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关于</w:t>
            </w:r>
            <w:r>
              <w:rPr>
                <w:rFonts w:hint="eastAsia" w:ascii="宋体" w:hAnsi="宋体" w:eastAsia="宋体" w:cs="宋体"/>
                <w:color w:val="auto"/>
                <w:szCs w:val="21"/>
                <w:highlight w:val="none"/>
              </w:rPr>
              <w:t xml:space="preserve">资格文件的声明函</w:t>
            </w:r>
            <w:r/>
          </w:p>
        </w:tc>
        <w:tc>
          <w:tcPr>
            <w:tcW w:w="2398"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格式见第三章</w:t>
            </w:r>
            <w:r/>
          </w:p>
        </w:tc>
      </w:tr>
      <w:tr>
        <w:trPr>
          <w:trHeight w:val="567"/>
        </w:trPr>
        <w:tc>
          <w:tcPr>
            <w:tcW w:w="373" w:type="pct"/>
            <w:vAlign w:val="center"/>
            <w:textDirection w:val="lrTb"/>
            <w:noWrap w:val="false"/>
          </w:tcPr>
          <w:p>
            <w:pPr>
              <w:pStyle w:val="688"/>
              <w:jc w:val="center"/>
              <w:spacing w:after="0"/>
              <w:rPr>
                <w:rFonts w:hint="eastAsia" w:ascii="宋体" w:hAnsi="宋体" w:eastAsia="宋体" w:cs="宋体"/>
                <w:color w:val="auto"/>
                <w:szCs w:val="21"/>
                <w:highlight w:val="none"/>
                <w:shd w:val="clear" w:color="auto" w:fill="ffffff"/>
                <w:lang w:eastAsia="zh-CN"/>
              </w:rPr>
            </w:pPr>
            <w:r>
              <w:rPr>
                <w:rFonts w:hint="eastAsia" w:ascii="宋体" w:hAnsi="宋体" w:eastAsia="宋体" w:cs="宋体"/>
                <w:color w:val="auto"/>
                <w:szCs w:val="21"/>
                <w:highlight w:val="none"/>
                <w:shd w:val="clear" w:color="auto" w:fill="ffffff"/>
                <w:lang w:val="en-US" w:eastAsia="zh-CN"/>
              </w:rPr>
              <w:t xml:space="preserve">6</w:t>
            </w:r>
            <w:r/>
          </w:p>
        </w:tc>
        <w:tc>
          <w:tcPr>
            <w:tcW w:w="2227" w:type="pct"/>
            <w:vAlign w:val="center"/>
            <w:textDirection w:val="lrTb"/>
            <w:noWrap w:val="false"/>
          </w:tcPr>
          <w:p>
            <w:pPr>
              <w:pStyle w:val="688"/>
              <w:jc w:val="left"/>
              <w:spacing w:after="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供应商与其他单位存在直接控股、管理关系情况表</w:t>
            </w:r>
            <w:r/>
          </w:p>
        </w:tc>
        <w:tc>
          <w:tcPr>
            <w:tcW w:w="2398"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格式见第三章</w:t>
            </w:r>
            <w:r/>
          </w:p>
        </w:tc>
      </w:tr>
      <w:tr>
        <w:trPr>
          <w:trHeight w:val="567"/>
        </w:trPr>
        <w:tc>
          <w:tcPr>
            <w:tcW w:w="373" w:type="pct"/>
            <w:vAlign w:val="center"/>
            <w:textDirection w:val="lrTb"/>
            <w:noWrap w:val="false"/>
          </w:tcPr>
          <w:p>
            <w:pPr>
              <w:pStyle w:val="688"/>
              <w:jc w:val="center"/>
              <w:spacing w:after="0"/>
              <w:rPr>
                <w:rFonts w:hint="eastAsia" w:ascii="宋体" w:hAnsi="宋体" w:eastAsia="宋体" w:cs="宋体"/>
                <w:color w:val="auto"/>
                <w:szCs w:val="21"/>
                <w:highlight w:val="none"/>
                <w:shd w:val="clear" w:color="auto" w:fill="ffffff"/>
                <w:lang w:eastAsia="zh-CN"/>
              </w:rPr>
            </w:pPr>
            <w:r>
              <w:rPr>
                <w:rFonts w:hint="eastAsia" w:ascii="宋体" w:hAnsi="宋体" w:eastAsia="宋体" w:cs="宋体"/>
                <w:color w:val="auto"/>
                <w:szCs w:val="21"/>
                <w:highlight w:val="none"/>
                <w:shd w:val="clear" w:color="auto" w:fill="ffffff"/>
                <w:lang w:val="en-US" w:eastAsia="zh-CN"/>
              </w:rPr>
              <w:t xml:space="preserve">7</w:t>
            </w:r>
            <w:r/>
          </w:p>
        </w:tc>
        <w:tc>
          <w:tcPr>
            <w:tcW w:w="2227"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商务要求偏离表</w:t>
            </w:r>
            <w:r/>
          </w:p>
        </w:tc>
        <w:tc>
          <w:tcPr>
            <w:tcW w:w="2398"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格式见第三章</w:t>
            </w:r>
            <w:r/>
          </w:p>
        </w:tc>
      </w:tr>
      <w:tr>
        <w:trPr>
          <w:trHeight w:val="567"/>
        </w:trPr>
        <w:tc>
          <w:tcPr>
            <w:tcW w:w="373" w:type="pct"/>
            <w:vAlign w:val="center"/>
            <w:textDirection w:val="lrTb"/>
            <w:noWrap w:val="false"/>
          </w:tcPr>
          <w:p>
            <w:pPr>
              <w:pStyle w:val="688"/>
              <w:jc w:val="center"/>
              <w:spacing w:after="0"/>
              <w:rPr>
                <w:rFonts w:hint="eastAsia" w:ascii="宋体" w:hAnsi="宋体" w:eastAsia="宋体" w:cs="宋体"/>
                <w:color w:val="auto"/>
                <w:szCs w:val="21"/>
                <w:highlight w:val="none"/>
                <w:shd w:val="clear" w:color="auto" w:fill="ffffff"/>
                <w:lang w:eastAsia="zh-CN"/>
              </w:rPr>
            </w:pPr>
            <w:r>
              <w:rPr>
                <w:rFonts w:hint="eastAsia" w:ascii="宋体" w:hAnsi="宋体" w:eastAsia="宋体" w:cs="宋体"/>
                <w:color w:val="auto"/>
                <w:szCs w:val="21"/>
                <w:highlight w:val="none"/>
                <w:shd w:val="clear" w:color="auto" w:fill="ffffff"/>
                <w:lang w:val="en-US" w:eastAsia="zh-CN"/>
              </w:rPr>
              <w:t xml:space="preserve">8</w:t>
            </w:r>
            <w:r/>
          </w:p>
        </w:tc>
        <w:tc>
          <w:tcPr>
            <w:tcW w:w="2227" w:type="pct"/>
            <w:vAlign w:val="center"/>
            <w:textDirection w:val="lrTb"/>
            <w:noWrap w:val="false"/>
          </w:tcPr>
          <w:p>
            <w:pPr>
              <w:pStyle w:val="688"/>
              <w:jc w:val="left"/>
              <w:spacing w:after="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拟投入本项目人员配备一览表</w:t>
            </w:r>
            <w:r>
              <w:rPr>
                <w:rFonts w:hint="eastAsia" w:ascii="宋体" w:hAnsi="宋体" w:cs="宋体"/>
                <w:color w:val="auto"/>
                <w:szCs w:val="21"/>
                <w:highlight w:val="none"/>
                <w:lang w:eastAsia="zh-CN"/>
              </w:rPr>
              <w:t xml:space="preserve">（</w:t>
            </w:r>
            <w:r>
              <w:rPr>
                <w:rFonts w:hint="eastAsia" w:ascii="宋体" w:hAnsi="宋体" w:cs="宋体"/>
                <w:color w:val="auto"/>
                <w:sz w:val="21"/>
                <w:szCs w:val="21"/>
                <w:highlight w:val="none"/>
                <w:lang w:val="en-US" w:eastAsia="zh-CN"/>
              </w:rPr>
              <w:t xml:space="preserve">提供有效证书以</w:t>
            </w:r>
            <w:r>
              <w:rPr>
                <w:rFonts w:hint="eastAsia" w:ascii="宋体" w:hAnsi="宋体" w:eastAsia="宋体" w:cs="宋体"/>
                <w:b w:val="0"/>
                <w:bCs w:val="0"/>
                <w:color w:val="auto"/>
                <w:sz w:val="21"/>
                <w:szCs w:val="21"/>
                <w:highlight w:val="none"/>
                <w:lang w:val="en-US" w:eastAsia="zh-CN"/>
              </w:rPr>
              <w:t xml:space="preserve">及</w:t>
            </w:r>
            <w:r>
              <w:rPr>
                <w:rFonts w:hint="eastAsia" w:ascii="宋体" w:hAnsi="宋体" w:eastAsia="宋体" w:cs="宋体"/>
                <w:b w:val="0"/>
                <w:bCs w:val="0"/>
                <w:color w:val="auto"/>
                <w:sz w:val="21"/>
                <w:szCs w:val="21"/>
                <w:highlight w:val="none"/>
              </w:rPr>
              <w:t xml:space="preserve">供应商为其缴纳</w:t>
            </w:r>
            <w:r>
              <w:rPr>
                <w:rFonts w:hint="eastAsia" w:ascii="宋体" w:hAnsi="宋体" w:cs="宋体"/>
                <w:b w:val="0"/>
                <w:bCs w:val="0"/>
                <w:color w:val="auto"/>
                <w:sz w:val="21"/>
                <w:szCs w:val="21"/>
                <w:highlight w:val="none"/>
                <w:lang w:eastAsia="zh-CN"/>
              </w:rPr>
              <w:t xml:space="preserve">的</w:t>
            </w:r>
            <w:r>
              <w:rPr>
                <w:rFonts w:hint="eastAsia" w:ascii="宋体" w:hAnsi="宋体" w:eastAsia="宋体" w:cs="宋体"/>
                <w:b w:val="0"/>
                <w:bCs w:val="0"/>
                <w:color w:val="auto"/>
                <w:sz w:val="21"/>
                <w:szCs w:val="21"/>
                <w:highlight w:val="none"/>
                <w:lang w:val="en-US" w:eastAsia="zh-CN"/>
              </w:rPr>
              <w:t xml:space="preserve">社保</w:t>
            </w:r>
            <w:r>
              <w:rPr>
                <w:rFonts w:hint="eastAsia" w:ascii="宋体" w:hAnsi="宋体" w:cs="宋体"/>
                <w:b w:val="0"/>
                <w:bCs w:val="0"/>
                <w:color w:val="auto"/>
                <w:sz w:val="21"/>
                <w:szCs w:val="21"/>
                <w:highlight w:val="none"/>
                <w:lang w:val="en-US" w:eastAsia="zh-CN"/>
              </w:rPr>
              <w:t xml:space="preserve">凭证</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近3个月内任意一个月</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color w:val="auto"/>
                <w:szCs w:val="21"/>
                <w:highlight w:val="none"/>
                <w:lang w:eastAsia="zh-CN"/>
              </w:rPr>
              <w:t xml:space="preserve">）</w:t>
            </w:r>
            <w:r/>
          </w:p>
        </w:tc>
        <w:tc>
          <w:tcPr>
            <w:tcW w:w="2398"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格式见第三章</w:t>
            </w:r>
            <w:r/>
          </w:p>
        </w:tc>
      </w:tr>
      <w:tr>
        <w:trPr>
          <w:trHeight w:val="567"/>
        </w:trPr>
        <w:tc>
          <w:tcPr>
            <w:tcW w:w="373" w:type="pct"/>
            <w:vAlign w:val="center"/>
            <w:textDirection w:val="lrTb"/>
            <w:noWrap w:val="false"/>
          </w:tcPr>
          <w:p>
            <w:pPr>
              <w:pStyle w:val="688"/>
              <w:jc w:val="center"/>
              <w:spacing w:after="0"/>
              <w:rPr>
                <w:rFonts w:hint="eastAsia" w:ascii="宋体" w:hAnsi="宋体" w:eastAsia="宋体" w:cs="宋体"/>
                <w:color w:val="auto"/>
                <w:szCs w:val="21"/>
                <w:highlight w:val="none"/>
                <w:shd w:val="clear" w:color="auto" w:fill="ffffff"/>
                <w:lang w:val="en-US" w:eastAsia="zh-CN"/>
              </w:rPr>
            </w:pPr>
            <w:r>
              <w:rPr>
                <w:rFonts w:hint="eastAsia" w:ascii="宋体" w:hAnsi="宋体" w:eastAsia="宋体" w:cs="宋体"/>
                <w:color w:val="auto"/>
                <w:szCs w:val="21"/>
                <w:highlight w:val="none"/>
                <w:shd w:val="clear" w:color="auto" w:fill="ffffff"/>
                <w:lang w:val="en-US" w:eastAsia="zh-CN"/>
              </w:rPr>
              <w:t xml:space="preserve">9</w:t>
            </w:r>
            <w:r/>
          </w:p>
        </w:tc>
        <w:tc>
          <w:tcPr>
            <w:tcW w:w="2227"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投标（响应）保证承诺书</w:t>
            </w:r>
            <w:r/>
          </w:p>
        </w:tc>
        <w:tc>
          <w:tcPr>
            <w:tcW w:w="2398"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格式见第三章</w:t>
            </w:r>
            <w:r/>
          </w:p>
        </w:tc>
      </w:tr>
      <w:tr>
        <w:trPr>
          <w:trHeight w:val="567"/>
        </w:trPr>
        <w:tc>
          <w:tcPr>
            <w:gridSpan w:val="3"/>
            <w:tcW w:w="5000" w:type="pct"/>
            <w:vAlign w:val="center"/>
            <w:textDirection w:val="lrTb"/>
            <w:noWrap w:val="false"/>
          </w:tcPr>
          <w:p>
            <w:pPr>
              <w:pStyle w:val="688"/>
              <w:jc w:val="center"/>
              <w:spacing w:after="0"/>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三、技术要求</w:t>
            </w:r>
            <w:r/>
          </w:p>
        </w:tc>
      </w:tr>
      <w:tr>
        <w:trPr>
          <w:trHeight w:val="567"/>
        </w:trPr>
        <w:tc>
          <w:tcPr>
            <w:tcW w:w="373" w:type="pct"/>
            <w:vAlign w:val="center"/>
            <w:textDirection w:val="lrTb"/>
            <w:noWrap w:val="false"/>
          </w:tcPr>
          <w:p>
            <w:pPr>
              <w:pStyle w:val="688"/>
              <w:jc w:val="center"/>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2227"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技术或服务要求偏离表</w:t>
            </w:r>
            <w:r/>
          </w:p>
        </w:tc>
        <w:tc>
          <w:tcPr>
            <w:tcW w:w="2398"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格式见第三章</w:t>
            </w:r>
            <w:r/>
          </w:p>
        </w:tc>
      </w:tr>
      <w:tr>
        <w:trPr>
          <w:trHeight w:val="567"/>
        </w:trPr>
        <w:tc>
          <w:tcPr>
            <w:tcW w:w="373" w:type="pct"/>
            <w:vAlign w:val="center"/>
            <w:textDirection w:val="lrTb"/>
            <w:noWrap w:val="false"/>
          </w:tcPr>
          <w:p>
            <w:pPr>
              <w:pStyle w:val="688"/>
              <w:jc w:val="center"/>
              <w:spacing w:after="0"/>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p>
        </w:tc>
        <w:tc>
          <w:tcPr>
            <w:tcW w:w="2227"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对属于《节能产品政府采购品目清单》政府强制采购产品的，需提供该产品有效期内的认证等相关证明材料（如有）</w:t>
            </w:r>
            <w:r/>
          </w:p>
        </w:tc>
        <w:tc>
          <w:tcPr>
            <w:tcW w:w="2398"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67"/>
        </w:trPr>
        <w:tc>
          <w:tcPr>
            <w:tcW w:w="373" w:type="pct"/>
            <w:vAlign w:val="center"/>
            <w:textDirection w:val="lrTb"/>
            <w:noWrap w:val="false"/>
          </w:tcPr>
          <w:p>
            <w:pPr>
              <w:pStyle w:val="688"/>
              <w:jc w:val="center"/>
              <w:spacing w:after="0"/>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3</w:t>
            </w:r>
            <w:r/>
          </w:p>
        </w:tc>
        <w:tc>
          <w:tcPr>
            <w:tcW w:w="2227" w:type="pct"/>
            <w:vAlign w:val="center"/>
            <w:textDirection w:val="lrTb"/>
            <w:noWrap w:val="false"/>
          </w:tcPr>
          <w:p>
            <w:pPr>
              <w:pStyle w:val="688"/>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拟投入本项目</w:t>
            </w:r>
            <w:r>
              <w:rPr>
                <w:rFonts w:hint="eastAsia" w:ascii="宋体" w:hAnsi="宋体" w:eastAsia="宋体" w:cs="宋体"/>
                <w:color w:val="auto"/>
                <w:szCs w:val="21"/>
                <w:highlight w:val="none"/>
                <w:lang w:val="en-US" w:eastAsia="zh-CN"/>
              </w:rPr>
              <w:t xml:space="preserve">专业</w:t>
            </w:r>
            <w:r>
              <w:rPr>
                <w:rFonts w:hint="eastAsia" w:ascii="宋体" w:hAnsi="宋体" w:eastAsia="宋体" w:cs="宋体"/>
                <w:color w:val="auto"/>
                <w:szCs w:val="21"/>
                <w:highlight w:val="none"/>
              </w:rPr>
              <w:t xml:space="preserve">设备清单</w:t>
            </w:r>
            <w:r/>
          </w:p>
        </w:tc>
        <w:tc>
          <w:tcPr>
            <w:tcW w:w="2398" w:type="pct"/>
            <w:vAlign w:val="center"/>
            <w:textDirection w:val="lrTb"/>
            <w:noWrap w:val="false"/>
          </w:tcPr>
          <w:p>
            <w:pPr>
              <w:pStyle w:val="688"/>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格式见第三章</w:t>
            </w:r>
            <w:r/>
          </w:p>
        </w:tc>
      </w:tr>
      <w:tr>
        <w:trPr>
          <w:trHeight w:val="567"/>
        </w:trPr>
        <w:tc>
          <w:tcPr>
            <w:tcW w:w="373" w:type="pct"/>
            <w:vAlign w:val="center"/>
            <w:textDirection w:val="lrTb"/>
            <w:noWrap w:val="false"/>
          </w:tcPr>
          <w:p>
            <w:pPr>
              <w:pStyle w:val="688"/>
              <w:jc w:val="center"/>
              <w:spacing w:after="0"/>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4</w:t>
            </w:r>
            <w:r/>
          </w:p>
        </w:tc>
        <w:tc>
          <w:tcPr>
            <w:tcW w:w="2227"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采购需求中所涉及到的或供应商认为需加以说明或证明的其他有关符合性证明材料、证明（如有）</w:t>
            </w:r>
            <w:r/>
          </w:p>
        </w:tc>
        <w:tc>
          <w:tcPr>
            <w:tcW w:w="2398" w:type="pct"/>
            <w:vAlign w:val="center"/>
            <w:textDirection w:val="lrTb"/>
            <w:noWrap w:val="false"/>
          </w:tcPr>
          <w:p>
            <w:pPr>
              <w:pStyle w:val="688"/>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格式自拟</w:t>
            </w:r>
            <w:r/>
          </w:p>
        </w:tc>
      </w:tr>
    </w:tbl>
    <w:p>
      <w:pPr>
        <w:pStyle w:val="841"/>
        <w:ind w:left="0" w:firstLine="482"/>
        <w:rPr>
          <w:rFonts w:hint="eastAsia" w:ascii="宋体" w:hAnsi="宋体" w:eastAsia="宋体" w:cs="宋体"/>
          <w:b/>
          <w:color w:val="auto"/>
          <w:sz w:val="24"/>
          <w:szCs w:val="24"/>
          <w:highlight w:val="none"/>
          <w:u w:val="single"/>
        </w:rPr>
      </w:pPr>
      <w:r/>
      <w:bookmarkStart w:id="40" w:name="_Hlk193373720"/>
      <w:r>
        <w:rPr>
          <w:rFonts w:hint="eastAsia" w:ascii="宋体" w:hAnsi="宋体" w:eastAsia="宋体" w:cs="宋体"/>
          <w:b/>
          <w:color w:val="auto"/>
          <w:sz w:val="24"/>
          <w:szCs w:val="24"/>
          <w:highlight w:val="none"/>
          <w:u w:val="single"/>
        </w:rPr>
        <w:t xml:space="preserve">以上为符合性审查的要求和必须提供的材料，未按要求提供的投标（响应）无效。</w:t>
      </w:r>
      <w:bookmarkEnd w:id="40"/>
      <w:r/>
      <w:r/>
    </w:p>
    <w:p>
      <w:pPr>
        <w:pStyle w:val="841"/>
        <w:ind w:left="0"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12.4综合评审文件（评分要点及技术要求）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12.4.1技术部分（评分要点及技术要求）；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12.4.2评分标准中所涉及到的其他材料等；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12.4.3其他需供应商对本次响应的详细说明。</w:t>
      </w:r>
      <w:r/>
    </w:p>
    <w:p>
      <w:pPr>
        <w:pStyle w:val="841"/>
        <w:ind w:left="0" w:firstLine="482"/>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12.5企业报价折扣证明：</w:t>
      </w:r>
      <w:r>
        <w:rPr>
          <w:rFonts w:hint="eastAsia" w:ascii="宋体" w:hAnsi="宋体" w:eastAsia="宋体" w:cs="宋体"/>
          <w:color w:val="auto"/>
          <w:sz w:val="24"/>
          <w:szCs w:val="24"/>
          <w:highlight w:val="none"/>
        </w:rPr>
        <w:t xml:space="preserve">本项目专门面向中小企业采购，</w:t>
      </w:r>
      <w:r>
        <w:rPr>
          <w:rFonts w:hint="eastAsia" w:ascii="宋体" w:hAnsi="宋体" w:eastAsia="宋体" w:cs="宋体"/>
          <w:b/>
          <w:bCs/>
          <w:color w:val="auto"/>
          <w:sz w:val="24"/>
          <w:szCs w:val="24"/>
          <w:highlight w:val="none"/>
        </w:rPr>
        <w:t xml:space="preserve">所属行业为</w:t>
      </w:r>
      <w:r>
        <w:rPr>
          <w:rFonts w:hint="eastAsia" w:ascii="宋体" w:hAnsi="宋体" w:eastAsia="宋体" w:cs="宋体"/>
          <w:b/>
          <w:bCs/>
          <w:color w:val="auto"/>
          <w:sz w:val="24"/>
          <w:szCs w:val="24"/>
          <w:highlight w:val="none"/>
          <w:lang w:val="en-US" w:eastAsia="zh-CN"/>
        </w:rPr>
        <w:t xml:space="preserve">建筑</w:t>
      </w:r>
      <w:r>
        <w:rPr>
          <w:rFonts w:hint="eastAsia" w:ascii="宋体" w:hAnsi="宋体" w:eastAsia="宋体" w:cs="宋体"/>
          <w:b/>
          <w:bCs/>
          <w:color w:val="auto"/>
          <w:sz w:val="24"/>
          <w:szCs w:val="24"/>
          <w:highlight w:val="none"/>
        </w:rPr>
        <w:t xml:space="preserve">业，</w:t>
      </w:r>
      <w:r>
        <w:rPr>
          <w:rFonts w:hint="eastAsia" w:ascii="宋体" w:hAnsi="宋体" w:eastAsia="宋体" w:cs="宋体"/>
          <w:color w:val="auto"/>
          <w:sz w:val="24"/>
          <w:szCs w:val="24"/>
          <w:highlight w:val="none"/>
        </w:rPr>
        <w:t xml:space="preserve">供应商应为中小微企业、监狱企业、残疾人福利性单位，应提供《中小企业声明函》或残疾人福利性单位声明函或省级以上监狱管理局、戒毒管理局（含新疆生产建设兵团）出具的属于监狱企业的证明文件。</w:t>
      </w:r>
      <w:r/>
    </w:p>
    <w:p>
      <w:pPr>
        <w:ind w:firstLine="482"/>
        <w:spacing w:line="360" w:lineRule="auto"/>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注：响应文件由上述条款规定的内容共同组成。响应单位必须提交上述12.1-12.3、12.5款规定的资料。否则，响应文件将因资格条件不符或未实质性响应采购文件而被拒绝。</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制作电子投标（响应）文件时请与电子投标（响应）文件制作软件目录一一对应，将相关资料上传至相应模块。供应商应保证上传的投标（响应）文件完整、清晰可辨认，若因上传资料过小或模糊不清等无法辨认的都视为该资料未提供。</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按上述要求提交相关资料。</w:t>
      </w:r>
      <w:r>
        <w:rPr>
          <w:rFonts w:hint="eastAsia" w:ascii="宋体" w:hAnsi="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必须保证全部资料的真实性，如有虚假或对采购文件所要求说明的情况故意隐瞒或虚报，视为</w:t>
      </w:r>
      <w:r>
        <w:rPr>
          <w:rFonts w:hint="eastAsia" w:ascii="宋体" w:hAnsi="宋体" w:cs="宋体"/>
          <w:bCs/>
          <w:color w:val="auto"/>
          <w:sz w:val="24"/>
          <w:szCs w:val="24"/>
          <w:highlight w:val="none"/>
          <w:lang w:val="en-US" w:eastAsia="zh-CN"/>
        </w:rPr>
        <w:t xml:space="preserve">未</w:t>
      </w:r>
      <w:r>
        <w:rPr>
          <w:rFonts w:hint="eastAsia" w:ascii="宋体" w:hAnsi="宋体" w:eastAsia="宋体" w:cs="宋体"/>
          <w:bCs/>
          <w:color w:val="auto"/>
          <w:sz w:val="24"/>
          <w:szCs w:val="24"/>
          <w:highlight w:val="none"/>
        </w:rPr>
        <w:t xml:space="preserve">实质性响应采购文件，为无效响应。已成交的将取消成交资格，并按《中华人民共和国政府采购法》第七十七条“提供虚假材料谋取中标、成交”相关处理办法处理。</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13.报价（编制）要求的说明</w:t>
      </w:r>
      <w:r/>
    </w:p>
    <w:p>
      <w:pPr>
        <w:ind w:firstLine="480"/>
        <w:spacing w:line="360" w:lineRule="auto"/>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除非合同中另有规定，响应报价涵盖在服务期内完成服务内容所需要的一切费用，包括完成该项目所需的全部人工费、材料费、机械费、管理费、利润、工程风险、规费、应有税费，以及所需的施工准备、施工过程、保修期等所需的供货、运输、运杂保险、装卸、备品、备件、损耗、安装、调试、人员培训、售后服务、</w:t>
      </w:r>
      <w:r>
        <w:rPr>
          <w:rFonts w:hint="eastAsia" w:ascii="宋体" w:hAnsi="宋体" w:cs="宋体"/>
          <w:color w:val="auto"/>
          <w:sz w:val="24"/>
          <w:szCs w:val="24"/>
          <w:highlight w:val="none"/>
          <w:lang w:eastAsia="zh-CN"/>
        </w:rPr>
        <w:t xml:space="preserve">专利技术、代理服务费等</w:t>
      </w:r>
      <w:r>
        <w:rPr>
          <w:rFonts w:hint="eastAsia" w:ascii="宋体" w:hAnsi="宋体" w:eastAsia="宋体" w:cs="宋体"/>
          <w:color w:val="auto"/>
          <w:sz w:val="24"/>
          <w:szCs w:val="24"/>
          <w:highlight w:val="none"/>
        </w:rPr>
        <w:t xml:space="preserve">一切费用。采购方无需再支付其他</w:t>
      </w:r>
      <w:r>
        <w:rPr>
          <w:rFonts w:hint="eastAsia" w:ascii="宋体" w:hAnsi="宋体" w:cs="宋体"/>
          <w:color w:val="auto"/>
          <w:sz w:val="24"/>
          <w:szCs w:val="24"/>
          <w:highlight w:val="none"/>
          <w:lang w:val="en-US" w:eastAsia="zh-CN"/>
        </w:rPr>
        <w:t xml:space="preserve">任何</w:t>
      </w:r>
      <w:r>
        <w:rPr>
          <w:rFonts w:hint="eastAsia" w:ascii="宋体" w:hAnsi="宋体" w:eastAsia="宋体" w:cs="宋体"/>
          <w:color w:val="auto"/>
          <w:spacing w:val="1"/>
          <w:sz w:val="24"/>
          <w:szCs w:val="24"/>
          <w:highlight w:val="none"/>
        </w:rPr>
        <w:t xml:space="preserve">费用。</w:t>
      </w:r>
      <w:r>
        <w:rPr>
          <w:rFonts w:hint="eastAsia" w:ascii="宋体" w:hAnsi="宋体" w:eastAsia="宋体" w:cs="宋体"/>
          <w:color w:val="auto"/>
          <w:sz w:val="24"/>
          <w:szCs w:val="24"/>
          <w:highlight w:val="none"/>
        </w:rPr>
        <w:t xml:space="preserve">磋商二次报价为最终报价。</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13.2磋商供应商应对采购文件内所要采购的全部内容进行报价，</w:t>
      </w:r>
      <w:r>
        <w:rPr>
          <w:rFonts w:hint="eastAsia" w:ascii="宋体" w:hAnsi="宋体" w:cs="宋体"/>
          <w:color w:val="auto"/>
          <w:sz w:val="24"/>
          <w:szCs w:val="24"/>
          <w:highlight w:val="none"/>
          <w:lang w:val="en-US" w:eastAsia="zh-CN"/>
        </w:rPr>
        <w:t xml:space="preserve">仅对</w:t>
      </w:r>
      <w:r>
        <w:rPr>
          <w:rFonts w:hint="eastAsia" w:ascii="宋体" w:hAnsi="宋体" w:eastAsia="宋体" w:cs="宋体"/>
          <w:color w:val="auto"/>
          <w:sz w:val="24"/>
          <w:szCs w:val="24"/>
          <w:highlight w:val="none"/>
        </w:rPr>
        <w:t xml:space="preserve">部分内容</w:t>
      </w:r>
      <w:r>
        <w:rPr>
          <w:rFonts w:hint="eastAsia" w:ascii="宋体" w:hAnsi="宋体" w:cs="宋体"/>
          <w:color w:val="auto"/>
          <w:sz w:val="24"/>
          <w:szCs w:val="24"/>
          <w:highlight w:val="none"/>
          <w:lang w:val="en-US" w:eastAsia="zh-CN"/>
        </w:rPr>
        <w:t xml:space="preserve">报价的</w:t>
      </w:r>
      <w:r>
        <w:rPr>
          <w:rFonts w:hint="eastAsia" w:ascii="宋体" w:hAnsi="宋体" w:eastAsia="宋体" w:cs="宋体"/>
          <w:color w:val="auto"/>
          <w:sz w:val="24"/>
          <w:szCs w:val="24"/>
          <w:highlight w:val="none"/>
        </w:rPr>
        <w:t xml:space="preserve">，其响应文件将被拒绝。但如果采购文件要求分标段响应的，则供应商可以选择只投其中一个或几个标段，也可以投全部标段，但各标段应分别计算填写单价和总价。本次采购不分标段。</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13.3一项内容只允许一个报价，采购单位不接受任何有选择性的报价。</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13.4响应文件报价中的单价和总价全部采用人民币表示，除非合同的特殊条款另有规定。</w:t>
      </w:r>
      <w:r/>
    </w:p>
    <w:p>
      <w:pPr>
        <w:ind w:firstLine="482"/>
        <w:spacing w:line="360" w:lineRule="auto"/>
        <w:tabs>
          <w:tab w:val="left" w:pos="8930" w:leader="none"/>
          <w:tab w:val="left" w:pos="930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14.保证金</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根据《关于做好政府采购支持企业发展有关事项的通知》（苏财购【2020】52号）相关规定，本项目无须缴纳磋商保证金。</w:t>
      </w:r>
      <w:r/>
    </w:p>
    <w:p>
      <w:pPr>
        <w:ind w:firstLine="482"/>
        <w:spacing w:line="360" w:lineRule="auto"/>
        <w:tabs>
          <w:tab w:val="left" w:pos="8930" w:leader="none"/>
          <w:tab w:val="left" w:pos="930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15.响应文件的有效期</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15.1自响应文件递交（上传）截止之日起</w:t>
      </w:r>
      <w:r>
        <w:rPr>
          <w:rFonts w:hint="eastAsia" w:ascii="宋体" w:hAnsi="宋体" w:eastAsia="宋体" w:cs="宋体"/>
          <w:color w:val="auto"/>
          <w:sz w:val="24"/>
          <w:szCs w:val="24"/>
          <w:highlight w:val="none"/>
          <w:u w:val="single"/>
        </w:rPr>
        <w:t xml:space="preserve">90</w:t>
      </w:r>
      <w:r>
        <w:rPr>
          <w:rFonts w:hint="eastAsia" w:ascii="宋体" w:hAnsi="宋体" w:eastAsia="宋体" w:cs="宋体"/>
          <w:color w:val="auto"/>
          <w:sz w:val="24"/>
          <w:szCs w:val="24"/>
          <w:highlight w:val="none"/>
        </w:rPr>
        <w:t xml:space="preserve">天内，响应文件应保持有效。有效期短于</w:t>
      </w:r>
      <w:r>
        <w:rPr>
          <w:rFonts w:hint="eastAsia" w:ascii="宋体" w:hAnsi="宋体" w:cs="宋体"/>
          <w:color w:val="auto"/>
          <w:sz w:val="24"/>
          <w:szCs w:val="24"/>
          <w:highlight w:val="none"/>
          <w:lang w:val="en-US" w:eastAsia="zh-CN"/>
        </w:rPr>
        <w:t xml:space="preserve">该</w:t>
      </w:r>
      <w:r>
        <w:rPr>
          <w:rFonts w:hint="eastAsia" w:ascii="宋体" w:hAnsi="宋体" w:eastAsia="宋体" w:cs="宋体"/>
          <w:color w:val="auto"/>
          <w:sz w:val="24"/>
          <w:szCs w:val="24"/>
          <w:highlight w:val="none"/>
        </w:rPr>
        <w:t xml:space="preserve">规定期限的响应，将被拒绝。</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15.2在特殊情况下，采购单位可与供应商协商延长响应文件的有效期。这种要求和答复都应以书面形式进行。同意延长有效期的供应商不能修改响应文件。拒绝接受延期要求的</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其</w:t>
      </w:r>
      <w:r>
        <w:rPr>
          <w:rFonts w:hint="eastAsia" w:ascii="宋体" w:hAnsi="宋体" w:eastAsia="宋体" w:cs="宋体"/>
          <w:color w:val="auto"/>
          <w:sz w:val="24"/>
          <w:szCs w:val="24"/>
          <w:highlight w:val="none"/>
        </w:rPr>
        <w:t xml:space="preserve">响应将被拒绝。</w:t>
      </w:r>
      <w:r/>
    </w:p>
    <w:p>
      <w:pPr>
        <w:ind w:firstLine="482"/>
        <w:spacing w:line="360" w:lineRule="auto"/>
        <w:tabs>
          <w:tab w:val="left" w:pos="8930" w:leader="none"/>
          <w:tab w:val="left" w:pos="930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16.截止时间</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16.1响应文件必须在递交（上传）截止时间前上传系统。</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16.2采购单位推迟磋商截止时间时，应以网上公告形式，通知所有供应商。在这种情况下，采购单位和供应商的权利和义务将受到新的截止期的约束。</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16.3在递交（上传）截止时间以后递交（上传）的磋商响应文件，采购单位将拒绝接收。</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bookmarkStart w:id="41" w:name="_Hlk193374938"/>
      <w:r>
        <w:rPr>
          <w:rFonts w:hint="eastAsia" w:ascii="宋体" w:hAnsi="宋体" w:eastAsia="宋体" w:cs="宋体"/>
          <w:color w:val="auto"/>
          <w:sz w:val="24"/>
          <w:szCs w:val="24"/>
          <w:highlight w:val="none"/>
        </w:rPr>
        <w:t xml:space="preserve">16.4在投标（响应）截止时间止，采购人或采购代理机构收到的某标段投标（响应）文件少于三份，采购人或采购代理机构有权宣布该标段本次采购失败。</w:t>
      </w:r>
      <w:bookmarkEnd w:id="41"/>
      <w:r/>
      <w:r/>
    </w:p>
    <w:p>
      <w:pPr>
        <w:ind w:firstLine="482"/>
        <w:spacing w:line="360" w:lineRule="auto"/>
        <w:tabs>
          <w:tab w:val="left" w:pos="8930" w:leader="none"/>
          <w:tab w:val="left" w:pos="930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17.</w:t>
      </w:r>
      <w:r>
        <w:rPr>
          <w:rFonts w:hint="eastAsia" w:ascii="宋体" w:hAnsi="宋体" w:eastAsia="宋体" w:cs="宋体"/>
          <w:b/>
          <w:bCs/>
          <w:color w:val="auto"/>
          <w:sz w:val="24"/>
          <w:szCs w:val="24"/>
          <w:highlight w:val="none"/>
        </w:rPr>
        <w:t xml:space="preserve">电子投标（响应）文件的编制与提交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17.1电子投标（响应）文件制作：本项目为网上</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项目，请供应商插入CA证书登陆“苏采云”系统下载客户端（参与项目页面可下载客户端及客户端使用说明），在客户端编制电子投标（响应）文件并进行CA加密。操作步骤详见“苏采云”系统页面提示和《操作手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17.3</w:t>
      </w:r>
      <w:r>
        <w:rPr>
          <w:rFonts w:hint="eastAsia" w:ascii="宋体" w:hAnsi="宋体" w:eastAsia="宋体" w:cs="宋体"/>
          <w:b/>
          <w:bCs/>
          <w:color w:val="auto"/>
          <w:sz w:val="24"/>
          <w:szCs w:val="24"/>
          <w:highlight w:val="none"/>
        </w:rPr>
        <w:t xml:space="preserve">响应文件未按照采购文件要求加盖CA电子公章的，响应无效</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17.4联合体</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：如招标(采购)公告中允许联合体响应，联合体的投标(响应)文件制作上传操作如下：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第一步：在投标(响应)文件中上传联合体响应协议书。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第二步：在投标(响应)文件中，由联合体中的牵头人制作响应文件。</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17.5响应文件开启、评标（评审）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17.5.1线上参加（观看）开标（开启）会方式：登录“苏采云”系统，点击“开标大厅”，选择对应项目，点击进入不见面开标系统。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17.5.2响应文件开启时，供应商应当按照《操作手册》规定，在“苏采云”系统规定的时间内对响应文件进行解密。等待开标流程进入“解锁环境”，点击“点击立即解密”进行标书解密，解锁完成后及时关注开标大厅，等待后续多次报价、答疑澄清等提示，否则导致的对供应商不利的后果由供应商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17.5.3</w:t>
      </w:r>
      <w:r>
        <w:rPr>
          <w:rFonts w:hint="eastAsia" w:ascii="宋体" w:hAnsi="宋体" w:eastAsia="宋体" w:cs="宋体"/>
          <w:b/>
          <w:bCs/>
          <w:color w:val="auto"/>
          <w:sz w:val="24"/>
          <w:szCs w:val="24"/>
          <w:highlight w:val="none"/>
        </w:rPr>
        <w:t xml:space="preserve">供应商在“苏采云”系统规定的时间内未成功解密电子响应文件的，响应无效</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17.6响应文件的修改和撤回</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17.6.1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firstLine="482"/>
        <w:spacing w:line="360" w:lineRule="auto"/>
        <w:tabs>
          <w:tab w:val="left" w:pos="753"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18.磋商程序说明</w:t>
      </w:r>
      <w:r/>
    </w:p>
    <w:p>
      <w:pPr>
        <w:pStyle w:val="768"/>
        <w:ind w:firstLine="480"/>
        <w:jc w:val="both"/>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18.1采购代理机构按本须知规定的时间、地点主持磋商采购活动。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供应商通过“苏采云”系统在线参与磋商活动。供应商应当按照《苏采云系统供应商操作手册》规定在“苏采云”系统规定的时间内对响应文件进行解密。在响应文件网上递交截止时间止成功解密的磋商供应商少于三家，则本次采购失败。</w:t>
      </w:r>
      <w:r/>
    </w:p>
    <w:p>
      <w:pPr>
        <w:pStyle w:val="768"/>
        <w:ind w:firstLine="480"/>
        <w:jc w:val="both"/>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18.3由磋商小组审查供应商解密的响应文件。</w:t>
      </w:r>
      <w:r/>
    </w:p>
    <w:p>
      <w:pPr>
        <w:pStyle w:val="768"/>
        <w:ind w:firstLine="480"/>
        <w:jc w:val="both"/>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18.4资格审查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18.4.1采购项目开标结束后，由磋商小组按采购文件的资格条件进行资格性审查，未通过资格性审查的响应无效。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18.4.2根据政府采购法及相关法规，以及《关于印发苏州市市级政府采购信用记录查询和使用工作试行办法的通知》（苏财购（2017）11号）、《层转《财政部关于〈中华人民共和国政府采购法实施条例〉第十九条第一款“较大数额罚款”具体适用问题的意见》的通知》（苏财购〔2022〕4号）规定，将对供应商进行信用查询。凡经确认不符合政府采购相关法律法规规定的，将拒绝其参与政府采购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查询时间：响应文件递交截止时间。</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查询渠道：“苏采云”。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信用记录使用规则：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（一）政府采购严重违法记录，即供应商被全国各级财政部门列入“政府采购严重违法失信行为记录名单”，且在处罚有效期内的。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（二）财政部门与法院、工商、税务等部门联合惩戒的失信信息，包括：</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（1）被列入失信被执行人名单；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（2）被列入重大税收违法案件当事人名单；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如是接受联合体的项目，两个以上的自然人、法人或者其他组织组成一个联合体，以一个供应商的身份共同参加政府采购活动的，联合体成员</w:t>
      </w:r>
      <w:r>
        <w:rPr>
          <w:rFonts w:hint="eastAsia" w:ascii="宋体" w:hAnsi="宋体" w:cs="宋体"/>
          <w:color w:val="auto"/>
          <w:sz w:val="24"/>
          <w:szCs w:val="24"/>
          <w:highlight w:val="none"/>
          <w:lang w:val="en-US" w:eastAsia="zh-CN"/>
        </w:rPr>
        <w:t xml:space="preserve">任一</w:t>
      </w:r>
      <w:r>
        <w:rPr>
          <w:rFonts w:hint="eastAsia" w:ascii="宋体" w:hAnsi="宋体" w:eastAsia="宋体" w:cs="宋体"/>
          <w:color w:val="auto"/>
          <w:sz w:val="24"/>
          <w:szCs w:val="24"/>
          <w:highlight w:val="none"/>
        </w:rPr>
        <w:t xml:space="preserve">成员存在失信信息的，视同联合体存在失信信息。</w:t>
      </w:r>
      <w:r/>
    </w:p>
    <w:p>
      <w:pPr>
        <w:pStyle w:val="768"/>
        <w:ind w:firstLine="480"/>
        <w:jc w:val="both"/>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18.5磋商小组在对响应文件的有效性、完整性和响应程度进行审查时，可以要求供应商对响应文件中含义不明确、同类问题表述不一致或者有明显文字和计算错误的内容等</w:t>
      </w:r>
      <w:r>
        <w:rPr>
          <w:rFonts w:hint="eastAsia" w:ascii="宋体" w:hAnsi="宋体" w:cs="宋体"/>
          <w:color w:val="auto"/>
          <w:szCs w:val="24"/>
          <w:highlight w:val="none"/>
          <w:lang w:val="en-US" w:eastAsia="zh-CN"/>
        </w:rPr>
        <w:t xml:space="preserve">作</w:t>
      </w:r>
      <w:r>
        <w:rPr>
          <w:rFonts w:hint="eastAsia" w:ascii="宋体" w:hAnsi="宋体" w:eastAsia="宋体" w:cs="宋体"/>
          <w:color w:val="auto"/>
          <w:szCs w:val="24"/>
          <w:highlight w:val="none"/>
        </w:rPr>
        <w:t xml:space="preserve">出必要的澄清、说明或者更正。供应商的澄清、说明或者更正不得超出响应文件的范围或者改变响应文件的实质性内容。</w:t>
      </w:r>
      <w:r/>
    </w:p>
    <w:p>
      <w:pPr>
        <w:pStyle w:val="768"/>
        <w:ind w:firstLine="480"/>
        <w:jc w:val="both"/>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18.6磋商小组要求供应商澄清、说明或者更正响应文件</w:t>
      </w:r>
      <w:r>
        <w:rPr>
          <w:rFonts w:hint="eastAsia" w:ascii="宋体" w:hAnsi="宋体" w:cs="宋体"/>
          <w:color w:val="auto"/>
          <w:szCs w:val="24"/>
          <w:highlight w:val="none"/>
          <w:lang w:val="en-US" w:eastAsia="zh-CN"/>
        </w:rPr>
        <w:t xml:space="preserve">时，</w:t>
      </w:r>
      <w:r>
        <w:rPr>
          <w:rFonts w:hint="eastAsia" w:ascii="宋体" w:hAnsi="宋体" w:eastAsia="宋体" w:cs="宋体"/>
          <w:color w:val="auto"/>
          <w:szCs w:val="24"/>
          <w:highlight w:val="none"/>
        </w:rPr>
        <w:t xml:space="preserve">应当</w:t>
      </w:r>
      <w:r>
        <w:rPr>
          <w:rFonts w:hint="eastAsia" w:ascii="宋体" w:hAnsi="宋体" w:cs="宋体"/>
          <w:color w:val="auto"/>
          <w:szCs w:val="24"/>
          <w:highlight w:val="none"/>
          <w:lang w:val="en-US" w:eastAsia="zh-CN"/>
        </w:rPr>
        <w:t xml:space="preserve">要求</w:t>
      </w:r>
      <w:r>
        <w:rPr>
          <w:rFonts w:hint="eastAsia" w:ascii="宋体" w:hAnsi="宋体" w:eastAsia="宋体" w:cs="宋体"/>
          <w:color w:val="auto"/>
          <w:szCs w:val="24"/>
          <w:highlight w:val="none"/>
        </w:rPr>
        <w:t xml:space="preserve">供应商点击答疑澄清按钮，进入询标回复界面，供应商点击【响应】按钮，进行询问响应，填写询问响应内容后，进行询问响应函签章，内容校验后提交。供应商的澄清、说明或者更正应当由其单位加盖电子公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w:t>
      </w:r>
      <w:r>
        <w:rPr>
          <w:rFonts w:hint="eastAsia" w:ascii="宋体" w:hAnsi="宋体" w:eastAsia="宋体" w:cs="宋体"/>
          <w:b/>
          <w:color w:val="auto"/>
          <w:sz w:val="24"/>
          <w:szCs w:val="24"/>
          <w:highlight w:val="none"/>
        </w:rPr>
        <w:t xml:space="preserve">如因供应商自身原因未在规定时间内提交澄清确认资料的，导致的不利后果由供应商自行承担。</w:t>
      </w:r>
      <w:r/>
    </w:p>
    <w:p>
      <w:pPr>
        <w:pStyle w:val="768"/>
        <w:ind w:firstLine="480"/>
        <w:jc w:val="both"/>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18.7对于通过资格审查和符合性审查的供应商，磋商小组所有成员集中与单一供应商分别进行磋商，并给予所有参加磋商的供应商平等的磋商机会。</w:t>
      </w:r>
      <w:r>
        <w:rPr>
          <w:rFonts w:hint="eastAsia" w:ascii="宋体" w:hAnsi="宋体" w:eastAsia="宋体" w:cs="宋体"/>
          <w:b/>
          <w:bCs/>
          <w:color w:val="auto"/>
          <w:szCs w:val="24"/>
          <w:highlight w:val="none"/>
        </w:rPr>
        <w:t xml:space="preserve">磋商小组通过“苏采云”系统向供应商发布“磋商函”，供应商应当按照要求在“苏采云”系统提交“磋商响应函”并加盖CA电子公章。</w:t>
      </w:r>
      <w:r/>
    </w:p>
    <w:p>
      <w:pPr>
        <w:pStyle w:val="768"/>
        <w:ind w:firstLine="480"/>
        <w:jc w:val="both"/>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18.8在磋商过程中，磋商小组可以根据采购文件和磋商情况实质性变动采购需求中的技术、服务要求以及合同草案条款。对采购文件</w:t>
      </w:r>
      <w:r>
        <w:rPr>
          <w:rFonts w:hint="eastAsia" w:ascii="宋体" w:hAnsi="宋体" w:cs="宋体"/>
          <w:color w:val="auto"/>
          <w:szCs w:val="24"/>
          <w:highlight w:val="none"/>
          <w:lang w:val="en-US" w:eastAsia="zh-CN"/>
        </w:rPr>
        <w:t xml:space="preserve">作</w:t>
      </w:r>
      <w:r>
        <w:rPr>
          <w:rFonts w:hint="eastAsia" w:ascii="宋体" w:hAnsi="宋体" w:eastAsia="宋体" w:cs="宋体"/>
          <w:color w:val="auto"/>
          <w:szCs w:val="24"/>
          <w:highlight w:val="none"/>
        </w:rPr>
        <w:t xml:space="preserve">出的实质性变动是采购文件的有效组成部分，磋商小组将在“苏采云”系统中同时通知所有参加磋商的供应商，供应商应当按照</w:t>
      </w:r>
      <w:r>
        <w:rPr>
          <w:rFonts w:hint="eastAsia" w:ascii="宋体" w:hAnsi="宋体" w:cs="宋体"/>
          <w:color w:val="auto"/>
          <w:szCs w:val="24"/>
          <w:highlight w:val="none"/>
          <w:lang w:val="en-US" w:eastAsia="zh-CN"/>
        </w:rPr>
        <w:t xml:space="preserve">磋商</w:t>
      </w:r>
      <w:r>
        <w:rPr>
          <w:rFonts w:hint="eastAsia" w:ascii="宋体" w:hAnsi="宋体" w:eastAsia="宋体" w:cs="宋体"/>
          <w:color w:val="auto"/>
          <w:szCs w:val="24"/>
          <w:highlight w:val="none"/>
        </w:rPr>
        <w:t xml:space="preserve">文件的变动情况和磋商小组的要求在“苏采云”系统中重新提交响应文件，并加盖CA电子公章。</w:t>
      </w:r>
      <w:r/>
    </w:p>
    <w:p>
      <w:pPr>
        <w:pStyle w:val="768"/>
        <w:ind w:firstLine="480"/>
        <w:jc w:val="both"/>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18.9供应商应当按照采购文件的变动情况和磋商小组的要求，及时关注【评审】环节</w:t>
      </w:r>
      <w:r>
        <w:rPr>
          <w:rFonts w:hint="eastAsia" w:ascii="宋体" w:hAnsi="宋体" w:cs="宋体"/>
          <w:color w:val="auto"/>
          <w:szCs w:val="24"/>
          <w:highlight w:val="none"/>
          <w:lang w:val="en-US" w:eastAsia="zh-CN"/>
        </w:rPr>
        <w:t xml:space="preserve">并</w:t>
      </w:r>
      <w:r>
        <w:rPr>
          <w:rFonts w:hint="eastAsia" w:ascii="宋体" w:hAnsi="宋体" w:eastAsia="宋体" w:cs="宋体"/>
          <w:color w:val="auto"/>
          <w:szCs w:val="24"/>
          <w:highlight w:val="none"/>
        </w:rPr>
        <w:t xml:space="preserve">等待澄清及回复。</w:t>
      </w:r>
      <w:r/>
    </w:p>
    <w:p>
      <w:pPr>
        <w:pStyle w:val="768"/>
        <w:ind w:firstLine="480"/>
        <w:jc w:val="both"/>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18.10磋商结束后，</w:t>
      </w:r>
      <w:r>
        <w:rPr>
          <w:rFonts w:hint="eastAsia" w:ascii="宋体" w:hAnsi="宋体" w:eastAsia="宋体" w:cs="宋体"/>
          <w:b/>
          <w:bCs/>
          <w:color w:val="auto"/>
          <w:szCs w:val="24"/>
          <w:highlight w:val="none"/>
        </w:rPr>
        <w:t xml:space="preserve">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auto"/>
          <w:szCs w:val="24"/>
          <w:highlight w:val="none"/>
        </w:rPr>
        <w:t xml:space="preserve">。因供应商自身原因导致线上报价失败的后果由供应商自行承担。</w:t>
      </w:r>
      <w:r>
        <w:rPr>
          <w:rStyle w:val="749"/>
          <w:rFonts w:hint="eastAsia" w:ascii="宋体" w:hAnsi="宋体" w:eastAsia="宋体" w:cs="宋体"/>
          <w:color w:val="auto"/>
          <w:szCs w:val="24"/>
          <w:highlight w:val="none"/>
        </w:rPr>
        <w:t xml:space="preserve">提交最后报价的供应商不得少于3家。</w:t>
      </w:r>
      <w:r/>
    </w:p>
    <w:p>
      <w:pPr>
        <w:ind w:firstLine="480"/>
        <w:jc w:val="left"/>
        <w:spacing w:line="360" w:lineRule="auto"/>
        <w:tabs>
          <w:tab w:val="left" w:pos="28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18.11根据《关于推动解决政府采购异常低价问题的通知》（财库〔2026〕2号）规定，政府采购异常低价审查：</w:t>
      </w:r>
      <w:r/>
    </w:p>
    <w:p>
      <w:pPr>
        <w:ind w:firstLine="480"/>
        <w:jc w:val="left"/>
        <w:spacing w:line="360" w:lineRule="auto"/>
        <w:tabs>
          <w:tab w:val="left" w:pos="28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（1）政府采购评审中出现下列情形之一的，评审委员会应当启动异常低价投标（响应）审查程序：</w:t>
      </w:r>
      <w:r/>
    </w:p>
    <w:p>
      <w:pPr>
        <w:ind w:firstLine="480"/>
        <w:jc w:val="left"/>
        <w:spacing w:line="360" w:lineRule="auto"/>
        <w:tabs>
          <w:tab w:val="left" w:pos="28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①投标（响应）报价低于全部通过符合性审查供应商投标（响应）报价平均值50%的，即投标（响应）报价&lt;全部通过符合性审查供应商投标（响应）报价平均值×50%；</w:t>
      </w:r>
      <w:r/>
    </w:p>
    <w:p>
      <w:pPr>
        <w:ind w:firstLine="480"/>
        <w:jc w:val="left"/>
        <w:spacing w:line="360" w:lineRule="auto"/>
        <w:tabs>
          <w:tab w:val="left" w:pos="28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②投标（响应）报价低于通过符合性审查的次低报价供应商投标（响应）报价50%的，即投标（响应）报价&lt;通过符合性审查的次低报价供应商投标（响应）报价×50%；</w:t>
      </w:r>
      <w:r/>
    </w:p>
    <w:p>
      <w:pPr>
        <w:ind w:firstLine="480"/>
        <w:jc w:val="left"/>
        <w:spacing w:line="360" w:lineRule="auto"/>
        <w:tabs>
          <w:tab w:val="left" w:pos="2870" w:leader="none"/>
        </w:tabs>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③投标（响应）报价低于采购项目最高限价45%的，即投标（响应）报价&lt;采购项目最高限价×45%；</w:t>
      </w:r>
      <w:r/>
    </w:p>
    <w:p>
      <w:pPr>
        <w:ind w:firstLine="480"/>
        <w:jc w:val="left"/>
        <w:spacing w:line="360" w:lineRule="auto"/>
        <w:tabs>
          <w:tab w:val="left" w:pos="28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④评审委员会基于专业判断，认为供应商报价过低，有可能影响产品质量或者不能诚信履约的其他情形。</w:t>
      </w:r>
      <w:r/>
    </w:p>
    <w:p>
      <w:pPr>
        <w:ind w:firstLine="480"/>
        <w:jc w:val="left"/>
        <w:spacing w:line="360" w:lineRule="auto"/>
        <w:tabs>
          <w:tab w:val="left" w:pos="28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60" w:lineRule="auto"/>
        <w:tabs>
          <w:tab w:val="left" w:pos="28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68"/>
        <w:ind w:firstLine="480"/>
        <w:jc w:val="both"/>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18.12经磋商确定最终采购需求和提交最后报价的供应商后，由磋商小组采用综合评分法进行评分。</w:t>
      </w:r>
      <w:r/>
    </w:p>
    <w:p>
      <w:pPr>
        <w:pStyle w:val="768"/>
        <w:ind w:firstLine="480"/>
        <w:jc w:val="both"/>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18.13磋商小组根据磋商成交原则确定成交供应商，并将结果通知所有参加磋商的供应商。</w:t>
      </w:r>
      <w:r/>
    </w:p>
    <w:p>
      <w:pPr>
        <w:pStyle w:val="768"/>
        <w:ind w:firstLine="480"/>
        <w:jc w:val="both"/>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18.14如磋商过程中出现本采购文件未尽事宜，由磋商小组根据政府采购有关法律、法规讨论决定。</w:t>
      </w:r>
      <w:r/>
    </w:p>
    <w:p>
      <w:pPr>
        <w:ind w:firstLine="482"/>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b/>
          <w:bCs/>
          <w:color w:val="auto"/>
          <w:sz w:val="24"/>
          <w:szCs w:val="24"/>
          <w:highlight w:val="none"/>
        </w:rPr>
        <w:t xml:space="preserve">注：如不同投标（响应）文件制作机器码一致，则投标（响应）无效。</w:t>
      </w:r>
      <w:r/>
    </w:p>
    <w:p>
      <w:pPr>
        <w:ind w:firstLine="482"/>
        <w:spacing w:line="360" w:lineRule="auto"/>
        <w:tabs>
          <w:tab w:val="left" w:pos="753"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18.15本项目采用线上二次报价：</w:t>
      </w:r>
      <w:r/>
    </w:p>
    <w:p>
      <w:pPr>
        <w:ind w:firstLine="480"/>
        <w:spacing w:line="360" w:lineRule="auto"/>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登录苏采云系统，评审组长发起最后报价，开标大厅会显示“立即报价”界面，点击【确认报价】提交流程至签</w:t>
      </w:r>
      <w:r>
        <w:rPr>
          <w:rFonts w:hint="eastAsia" w:ascii="宋体" w:hAnsi="宋体" w:eastAsia="宋体" w:cs="宋体"/>
          <w:bCs/>
          <w:color w:val="auto"/>
          <w:sz w:val="24"/>
          <w:szCs w:val="24"/>
          <w:highlight w:val="none"/>
        </w:rPr>
        <w:t xml:space="preserve">章环节，供应商点击签章按钮，签章完成后可进行提交。</w:t>
      </w:r>
      <w:r>
        <w:rPr>
          <w:rFonts w:hint="eastAsia" w:ascii="宋体" w:hAnsi="宋体" w:eastAsia="宋体" w:cs="宋体"/>
          <w:b/>
          <w:color w:val="auto"/>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进入项目评审流程后，建议各供应商法定代表人或授权委托人始终保持通讯顺畅，时</w:t>
      </w:r>
      <w:r>
        <w:rPr>
          <w:rFonts w:hint="eastAsia" w:ascii="宋体" w:hAnsi="宋体" w:eastAsia="宋体" w:cs="宋体"/>
          <w:b/>
          <w:color w:val="auto"/>
          <w:sz w:val="24"/>
          <w:szCs w:val="24"/>
          <w:highlight w:val="none"/>
        </w:rPr>
        <w:t xml:space="preserve">刻关注不见面开标大厅，不离开不见面开标大厅。</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关于二次报价的具体操作流程，各供应商请详细阅读《操作手册》。</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18.16以上磋商活动所涉及</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系统操作，以“苏采云”系统最新要求为准。</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19.磋商小组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19.1采购代理机构负责组织评审工作；磋商小组由相关专家及采购人代表组成，负责具体评审事务，并独立履行法律、法规规定的职责。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19.2采购人员及相关人员与参加采购活动的供应商存在下列利害关系之一的，应当回避：</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（一）参加采购活动前三年内，与供应商存在劳动关系，或者担任过供应商的董事、监事，或者是供应商的控股股东或实际控制人；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（二）与供应商的法定代表人或者负责人有夫妻、直系血亲、三代以内旁系血亲或者近姻亲关系；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（三）与供应商有其他可能影响政府采购活动公平、公正进行的关系。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采购人员及相关人员发现本人与参加采购活动的供应商有利害关系的，应当主动提出回避。采购人或者采购代理机构发现磋商小组与参加采购活动的供应商有利害关系的，应当要求其回避。</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19.4磋商小组成员应当按照客观、公正、审慎的原则，根据采购文件规定的评审程序、评审方法和评审标准进行独立评审。</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20.项目的终止</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20.1出现下列情形之一的，将终止竞争性磋商采购活动：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20.1.1因情况变化，不再符合规定的竞争性磋商采购方式适用情形的；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20.1.2出现影响采购公正的违法、违规行为的；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20.1.3在采购过程中符合要求的供应商或者报价未超过采购预算</w:t>
      </w:r>
      <w:r>
        <w:rPr>
          <w:rFonts w:hint="eastAsia" w:ascii="宋体" w:hAnsi="宋体" w:cs="宋体"/>
          <w:bCs/>
          <w:color w:val="auto"/>
          <w:sz w:val="24"/>
          <w:szCs w:val="24"/>
          <w:highlight w:val="none"/>
        </w:rPr>
        <w:t xml:space="preserve">或最高限价</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如有</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的供应商不足3家的；</w:t>
      </w:r>
      <w:r/>
    </w:p>
    <w:p>
      <w:pPr>
        <w:ind w:firstLine="480"/>
        <w:spacing w:line="360" w:lineRule="auto"/>
        <w:tabs>
          <w:tab w:val="left" w:pos="753"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20.1.4在采购活动中因重大变故，采购任务取消的。</w:t>
      </w:r>
      <w:r/>
    </w:p>
    <w:p>
      <w:pPr>
        <w:ind w:firstLine="482"/>
        <w:spacing w:line="360" w:lineRule="auto"/>
        <w:tabs>
          <w:tab w:val="left" w:pos="8930" w:leader="none"/>
          <w:tab w:val="left" w:pos="930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21.评审内容的保密</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21.1磋商开始后，直到宣布授予成交单位合同为止，凡属于审查、澄清、评价和比较磋商响应文件的所有资料，有关授予合同的信息都不应向磋商供应商或与评审无关的其他人泄露。</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21.2在磋商响应文件的审查、澄清、评价和比较以及授予合同的过程中，磋商供应商对采购单位和磋商小组施加影响的任何行为，都将取消其成交资格。</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21.3在评审期间，采购人或采购代理机构将通过指定联络人与磋商供应商进行联系。</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22.磋商说明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22.1不符合供应商资格要求的响应文件将被拒绝；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22.2响应文件签署不符合要求的，响应文件将被拒绝；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22.3任意一次磋商报价超过采购预算的，不能成交；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22.4不实质性响应采购文件的不能成交；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w:t>
      </w:r>
      <w:r>
        <w:rPr>
          <w:rFonts w:hint="eastAsia" w:ascii="宋体" w:hAnsi="宋体" w:eastAsia="宋体" w:cs="宋体"/>
          <w:bCs/>
          <w:color w:val="auto"/>
          <w:sz w:val="24"/>
          <w:szCs w:val="24"/>
          <w:highlight w:val="none"/>
        </w:rPr>
        <w:t xml:space="preserve">在采购过程中符合要求的供应商或者报价未超过采购预算</w:t>
      </w:r>
      <w:r>
        <w:rPr>
          <w:rFonts w:hint="eastAsia" w:ascii="宋体" w:hAnsi="宋体" w:cs="宋体"/>
          <w:bCs/>
          <w:color w:val="auto"/>
          <w:sz w:val="24"/>
          <w:szCs w:val="24"/>
          <w:highlight w:val="none"/>
        </w:rPr>
        <w:t xml:space="preserve">或最高限价</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如有</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的供应商不足3家的；</w:t>
      </w:r>
      <w:r/>
    </w:p>
    <w:p>
      <w:pPr>
        <w:ind w:firstLine="480"/>
        <w:spacing w:line="360" w:lineRule="auto"/>
        <w:tabs>
          <w:tab w:val="left" w:pos="8930" w:leader="none"/>
          <w:tab w:val="left" w:pos="9306"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22.6供应商根据磋商情况进行承诺说明并填写承诺函、填写最后报价（未填写单价的，最终合同单价按最后报价比第一次报价同比例下（上）浮）。</w:t>
      </w:r>
      <w:r/>
    </w:p>
    <w:p>
      <w:pPr>
        <w:ind w:firstLine="482"/>
        <w:spacing w:line="360" w:lineRule="auto"/>
        <w:tabs>
          <w:tab w:val="left" w:pos="8930" w:leader="none"/>
          <w:tab w:val="left" w:pos="930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23.成交单位的确认</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23.1磋商小组根据磋商供应商资格审查情况，对其响应文件进行评价和比较，按照评审办法和标准进行评审，并按采购单位的委托向采购单位推荐成交候选单位。</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w:t>
      </w:r>
      <w:r>
        <w:rPr>
          <w:rFonts w:hint="eastAsia" w:ascii="宋体" w:hAnsi="宋体" w:eastAsia="宋体" w:cs="宋体"/>
          <w:color w:val="auto"/>
          <w:sz w:val="24"/>
          <w:szCs w:val="24"/>
          <w:highlight w:val="none"/>
        </w:rPr>
        <w:t xml:space="preserve">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w:t>
      </w:r>
      <w:r>
        <w:rPr>
          <w:rFonts w:hint="eastAsia" w:ascii="宋体" w:hAnsi="宋体" w:eastAsia="宋体" w:cs="宋体"/>
          <w:bCs/>
          <w:color w:val="auto"/>
          <w:sz w:val="24"/>
          <w:szCs w:val="24"/>
          <w:highlight w:val="none"/>
        </w:rPr>
        <w:t xml:space="preserve">由采购人授权</w:t>
      </w:r>
      <w:r>
        <w:rPr>
          <w:rFonts w:hint="eastAsia" w:ascii="宋体" w:hAnsi="宋体" w:cs="宋体"/>
          <w:bCs/>
          <w:color w:val="auto"/>
          <w:sz w:val="24"/>
          <w:szCs w:val="24"/>
          <w:highlight w:val="none"/>
          <w:lang w:val="en-US" w:eastAsia="zh-CN"/>
        </w:rPr>
        <w:t xml:space="preserve">磋商小组</w:t>
      </w:r>
      <w:r>
        <w:rPr>
          <w:rFonts w:hint="eastAsia" w:ascii="宋体" w:hAnsi="宋体" w:eastAsia="宋体" w:cs="宋体"/>
          <w:bCs/>
          <w:color w:val="auto"/>
          <w:sz w:val="24"/>
          <w:szCs w:val="24"/>
          <w:highlight w:val="none"/>
        </w:rPr>
        <w:t xml:space="preserve">在候选供应商名单中直接确定成交供应商。</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23.4如因质疑或投诉改变成交结果的，则采购人可以按照评审报告推荐的成交候选人名单排序，确定下一候选人为成交人或者重新开展政府采购活动。</w:t>
      </w:r>
      <w:r/>
    </w:p>
    <w:p>
      <w:pPr>
        <w:ind w:firstLine="482"/>
        <w:spacing w:line="360" w:lineRule="auto"/>
        <w:tabs>
          <w:tab w:val="left" w:pos="8930" w:leader="none"/>
          <w:tab w:val="left" w:pos="930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24.合同授予标准</w:t>
      </w:r>
      <w:r/>
    </w:p>
    <w:p>
      <w:pPr>
        <w:ind w:firstLine="480"/>
        <w:spacing w:line="360" w:lineRule="auto"/>
        <w:tabs>
          <w:tab w:val="left" w:pos="8930" w:leader="none"/>
          <w:tab w:val="left" w:pos="9306"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24.1采购单位将把合同授予磋商响应文件实质上响应采购文件要求和按本须知规定评选出的供应商。确定为成交的供应商必须</w:t>
      </w:r>
      <w:r>
        <w:rPr>
          <w:rFonts w:hint="eastAsia" w:ascii="宋体" w:hAnsi="宋体" w:cs="宋体"/>
          <w:color w:val="auto"/>
          <w:sz w:val="24"/>
          <w:szCs w:val="24"/>
          <w:highlight w:val="none"/>
          <w:lang w:val="en-US" w:eastAsia="zh-CN"/>
        </w:rPr>
        <w:t xml:space="preserve">具备</w:t>
      </w:r>
      <w:r>
        <w:rPr>
          <w:rFonts w:hint="eastAsia" w:ascii="宋体" w:hAnsi="宋体" w:eastAsia="宋体" w:cs="宋体"/>
          <w:color w:val="auto"/>
          <w:sz w:val="24"/>
          <w:szCs w:val="24"/>
          <w:highlight w:val="none"/>
        </w:rPr>
        <w:t xml:space="preserve">实施本合同的能力和资源。</w:t>
      </w:r>
      <w:r/>
    </w:p>
    <w:p>
      <w:pPr>
        <w:ind w:firstLine="482"/>
        <w:spacing w:line="360" w:lineRule="auto"/>
        <w:tabs>
          <w:tab w:val="left" w:pos="8930" w:leader="none"/>
          <w:tab w:val="left" w:pos="930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25.成交通知书</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25.1采购人或采购代理机构根据相关规定发布成交公告，成交公告发出的同时应当向成交供应商发出《成交通知书》</w:t>
      </w:r>
      <w:bookmarkStart w:id="42" w:name="_Hlk132389804"/>
      <w:r/>
      <w:bookmarkStart w:id="43" w:name="_Hlk132385577"/>
      <w:r/>
      <w:bookmarkStart w:id="44" w:name="_Hlk132385599"/>
      <w:r>
        <w:rPr>
          <w:rFonts w:hint="eastAsia" w:ascii="宋体" w:hAnsi="宋体" w:eastAsia="宋体" w:cs="宋体"/>
          <w:color w:val="auto"/>
          <w:sz w:val="24"/>
          <w:szCs w:val="24"/>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42"/>
      <w:r/>
      <w:bookmarkEnd w:id="43"/>
      <w:r/>
      <w:bookmarkEnd w:id="44"/>
      <w:r>
        <w:rPr>
          <w:rFonts w:hint="eastAsia" w:ascii="宋体" w:hAnsi="宋体" w:eastAsia="宋体" w:cs="宋体"/>
          <w:color w:val="auto"/>
          <w:sz w:val="24"/>
          <w:szCs w:val="24"/>
          <w:highlight w:val="none"/>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25.2成交通知书发出后，采购人不得违法改变成交结果，成交供应商无正当理由不得放弃成交。</w:t>
      </w:r>
      <w:r/>
    </w:p>
    <w:p>
      <w:pPr>
        <w:ind w:firstLine="482"/>
        <w:spacing w:line="360" w:lineRule="auto"/>
        <w:tabs>
          <w:tab w:val="left" w:pos="8930" w:leader="none"/>
          <w:tab w:val="left" w:pos="930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26.</w:t>
      </w:r>
      <w:r>
        <w:rPr>
          <w:rFonts w:hint="eastAsia" w:ascii="宋体" w:hAnsi="宋体" w:cs="宋体"/>
          <w:b/>
          <w:color w:val="auto"/>
          <w:sz w:val="24"/>
          <w:szCs w:val="24"/>
          <w:highlight w:val="none"/>
          <w:lang w:val="en-US" w:eastAsia="zh-CN"/>
        </w:rPr>
        <w:t xml:space="preserve">代理</w:t>
      </w:r>
      <w:r>
        <w:rPr>
          <w:rFonts w:hint="eastAsia" w:ascii="宋体" w:hAnsi="宋体" w:eastAsia="宋体" w:cs="宋体"/>
          <w:b/>
          <w:color w:val="auto"/>
          <w:sz w:val="24"/>
          <w:szCs w:val="24"/>
          <w:highlight w:val="none"/>
        </w:rPr>
        <w:t xml:space="preserve">服务费</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lang w:val="zh-CN"/>
        </w:rPr>
        <w:t xml:space="preserve">以项目预算金额作为代理服务费的计算基数，按照以下差额定率累进法计算确定政府采购代理服务费金额：</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预算金额：100万元以下部分按预算金额的1.5%收取；</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预算金额：100万元（含）~500万元以下部分按预算金额的1.1%收取；</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预算金额：500万元（含）~1000万元以下部分按预算金额的0.8%收取；</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预算金额：1000万元（含）~5000万元以下部分按预算金额的0.5%收取；</w:t>
      </w:r>
      <w:r/>
    </w:p>
    <w:p>
      <w:pPr>
        <w:ind w:firstLine="480"/>
        <w:spacing w:line="360" w:lineRule="auto"/>
        <w:rPr>
          <w:rFonts w:hint="eastAsia" w:ascii="宋体" w:hAnsi="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预算金额：5000万元（含）以上部分按预算金额的0.25%收取</w:t>
      </w:r>
      <w:r>
        <w:rPr>
          <w:rFonts w:hint="eastAsia" w:ascii="宋体" w:hAnsi="宋体" w:cs="宋体"/>
          <w:color w:val="auto"/>
          <w:sz w:val="24"/>
          <w:szCs w:val="24"/>
          <w:highlight w:val="none"/>
          <w:lang w:val="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本项目采购预算已包含代理服务费</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eastAsia="zh-CN"/>
        </w:rPr>
        <w:t xml:space="preserve">服务费</w:t>
      </w:r>
      <w:r>
        <w:rPr>
          <w:rFonts w:hint="eastAsia" w:ascii="宋体" w:hAnsi="宋体" w:cs="宋体"/>
          <w:color w:val="auto"/>
          <w:sz w:val="24"/>
          <w:szCs w:val="24"/>
          <w:highlight w:val="none"/>
          <w:lang w:val="en-US" w:eastAsia="zh-CN"/>
        </w:rPr>
        <w:t xml:space="preserve">合计</w:t>
      </w:r>
      <w:r>
        <w:rPr>
          <w:rFonts w:hint="eastAsia" w:ascii="宋体" w:hAnsi="宋体" w:eastAsia="宋体" w:cs="宋体"/>
          <w:color w:val="auto"/>
          <w:sz w:val="24"/>
          <w:szCs w:val="24"/>
          <w:highlight w:val="none"/>
        </w:rPr>
        <w:t xml:space="preserve">为人民币</w:t>
      </w:r>
      <w:r>
        <w:rPr>
          <w:rFonts w:hint="eastAsia" w:ascii="宋体" w:hAnsi="宋体" w:cs="宋体"/>
          <w:color w:val="auto"/>
          <w:sz w:val="24"/>
          <w:szCs w:val="24"/>
          <w:highlight w:val="none"/>
          <w:lang w:val="en-US" w:eastAsia="zh-CN"/>
        </w:rPr>
        <w:t xml:space="preserve">贰万陆仟贰佰伍拾</w:t>
      </w:r>
      <w:r>
        <w:rPr>
          <w:rFonts w:hint="eastAsia" w:ascii="宋体" w:hAnsi="宋体" w:eastAsia="宋体" w:cs="宋体"/>
          <w:color w:val="auto"/>
          <w:sz w:val="24"/>
          <w:szCs w:val="24"/>
          <w:highlight w:val="none"/>
        </w:rPr>
        <w:t xml:space="preserve">元整（￥</w:t>
      </w:r>
      <w:r>
        <w:rPr>
          <w:rFonts w:hint="eastAsia" w:ascii="宋体" w:hAnsi="宋体" w:cs="宋体"/>
          <w:color w:val="auto"/>
          <w:sz w:val="24"/>
          <w:szCs w:val="24"/>
          <w:highlight w:val="none"/>
          <w:lang w:val="en-US" w:eastAsia="zh-CN"/>
        </w:rPr>
        <w:t xml:space="preserve">26250</w:t>
      </w:r>
      <w:r>
        <w:rPr>
          <w:rFonts w:hint="eastAsia" w:ascii="宋体" w:hAnsi="宋体" w:eastAsia="宋体" w:cs="宋体"/>
          <w:color w:val="auto"/>
          <w:sz w:val="24"/>
          <w:szCs w:val="24"/>
          <w:highlight w:val="none"/>
        </w:rPr>
        <w:t xml:space="preserve">.00），含税。</w:t>
      </w:r>
      <w:r>
        <w:rPr>
          <w:rFonts w:hint="eastAsia" w:ascii="宋体" w:hAnsi="宋体" w:cs="宋体"/>
          <w:color w:val="auto"/>
          <w:sz w:val="24"/>
          <w:szCs w:val="24"/>
          <w:highlight w:val="none"/>
          <w:lang w:val="en-US" w:eastAsia="zh-CN"/>
        </w:rPr>
        <w:t xml:space="preserve">成交单位在</w:t>
      </w:r>
      <w:r>
        <w:rPr>
          <w:rFonts w:hint="eastAsia" w:ascii="宋体" w:hAnsi="宋体" w:eastAsia="宋体" w:cs="宋体"/>
          <w:color w:val="auto"/>
          <w:sz w:val="24"/>
          <w:szCs w:val="24"/>
          <w:highlight w:val="none"/>
          <w:lang w:val="zh-CN"/>
        </w:rPr>
        <w:t xml:space="preserve">领取成交通知书</w:t>
      </w:r>
      <w:r>
        <w:rPr>
          <w:rFonts w:hint="eastAsia" w:ascii="宋体" w:hAnsi="宋体" w:cs="宋体"/>
          <w:color w:val="auto"/>
          <w:sz w:val="24"/>
          <w:szCs w:val="24"/>
          <w:highlight w:val="none"/>
          <w:lang w:val="en-US" w:eastAsia="zh-CN"/>
        </w:rPr>
        <w:t xml:space="preserve">时，</w:t>
      </w:r>
      <w:r>
        <w:rPr>
          <w:rFonts w:hint="eastAsia" w:ascii="宋体" w:hAnsi="宋体" w:eastAsia="宋体" w:cs="宋体"/>
          <w:color w:val="auto"/>
          <w:sz w:val="24"/>
          <w:szCs w:val="24"/>
          <w:highlight w:val="none"/>
          <w:lang w:val="zh-CN"/>
        </w:rPr>
        <w:t xml:space="preserve">向采购代理机构一次性付清。</w:t>
      </w:r>
      <w:r/>
    </w:p>
    <w:p>
      <w:pPr>
        <w:ind w:firstLine="482"/>
        <w:spacing w:line="360" w:lineRule="auto"/>
        <w:tabs>
          <w:tab w:val="left" w:pos="8930" w:leader="none"/>
          <w:tab w:val="left" w:pos="930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27.履约保证金</w:t>
      </w:r>
      <w:r>
        <w:rPr>
          <w:rFonts w:hint="eastAsia" w:ascii="宋体" w:hAnsi="宋体" w:cs="宋体"/>
          <w:b/>
          <w:color w:val="auto"/>
          <w:sz w:val="24"/>
          <w:szCs w:val="24"/>
          <w:highlight w:val="none"/>
        </w:rPr>
        <w:t xml:space="preserve">（本项目不收取履约保证金，采购文件中涉及的条款均不适用）</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27.1履约保证金</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具体要求根据合同执行</w:t>
      </w:r>
      <w:r>
        <w:rPr>
          <w:rFonts w:hint="eastAsia" w:ascii="宋体" w:hAnsi="宋体" w:eastAsia="宋体" w:cs="宋体"/>
          <w:bCs/>
          <w:color w:val="auto"/>
          <w:sz w:val="24"/>
          <w:szCs w:val="24"/>
          <w:highlight w:val="none"/>
        </w:rPr>
        <w:t xml:space="preserve">。</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下载“政府采购电子履约保函（保险）操作手册”。</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27.3提供银行履约保函的，此保函开具银行范围须是苏州市级分行，且内容须满足甲方的格式的要求。履约担保期限为自本合同生效之日起至采购人向中标（成交）单位颁发竣工证书之日止，如果中标（成交）单位无法获得一份不带具体截止日期的履约保函，履约保函中应当有“变更工程竣工日期的，保证期间按照变更后的竣工日期做相应调整”或类似约定的条款，或由中标（成交）单位负责自费延长履约保函有效期，延长次数不限，直至采购人向中标（成交）单位颁发竣工证书之日止。</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27.4在中标（成交）通知书发出的十五天内，中标（成交）单位应当以支票、汇票、本票或者金融机构、担保机构出具的保函等非现金形式提交履约保证金。</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27.5中标（成交）单位无故拖延或拒不提交履约保证金的，视为拒绝与采购人签订合同，采购人可以按照评审报告推荐的中标（成交）候选人名单排序，确定下一候选人为中标（成交）单位或者重新开展政府采购活动。</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27.6履约保证金（无息）在服务期满且服务缺陷更正并验收合格后的15个工作日内，中标（成交）方配合采购人和新中标（成交）单位办理移交手续，由采购人确认后退还。如中标（成交）方对服务缺陷不予更正，采购人有权另请其他单位更正，所发生的费用在履约保证金中扣除。</w:t>
      </w:r>
      <w:r/>
    </w:p>
    <w:p>
      <w:pPr>
        <w:ind w:firstLine="482"/>
        <w:spacing w:line="360" w:lineRule="auto"/>
        <w:tabs>
          <w:tab w:val="left" w:pos="8930" w:leader="none"/>
          <w:tab w:val="left" w:pos="930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28.未尽事宜</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按《中华人民共和国政府采购法》及其他有关的法律法规的规定执行。</w:t>
      </w:r>
      <w:r/>
    </w:p>
    <w:p>
      <w:pPr>
        <w:jc w:val="center"/>
        <w:spacing w:line="360" w:lineRule="auto"/>
        <w:tabs>
          <w:tab w:val="left" w:pos="8930" w:leader="none"/>
          <w:tab w:val="left" w:pos="9306" w:leader="none"/>
        </w:tabs>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br w:type="page" w:clear="all"/>
      </w:r>
      <w:r/>
    </w:p>
    <w:p>
      <w:pPr>
        <w:jc w:val="center"/>
        <w:spacing w:line="360" w:lineRule="auto"/>
        <w:tabs>
          <w:tab w:val="left" w:pos="8930" w:leader="none"/>
          <w:tab w:val="left" w:pos="9306" w:leader="none"/>
        </w:tabs>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r>
      <w:r/>
    </w:p>
    <w:p>
      <w:pPr>
        <w:jc w:val="center"/>
        <w:spacing w:line="360" w:lineRule="auto"/>
        <w:tabs>
          <w:tab w:val="left" w:pos="8930" w:leader="none"/>
          <w:tab w:val="left" w:pos="9306" w:leader="none"/>
        </w:tabs>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r>
      <w:r/>
    </w:p>
    <w:p>
      <w:pPr>
        <w:jc w:val="center"/>
        <w:spacing w:line="360" w:lineRule="auto"/>
        <w:tabs>
          <w:tab w:val="left" w:pos="8930" w:leader="none"/>
          <w:tab w:val="left" w:pos="9306" w:leader="none"/>
        </w:tabs>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r>
      <w:r/>
    </w:p>
    <w:p>
      <w:pPr>
        <w:jc w:val="center"/>
        <w:spacing w:line="360" w:lineRule="auto"/>
        <w:tabs>
          <w:tab w:val="left" w:pos="8930" w:leader="none"/>
          <w:tab w:val="left" w:pos="9306" w:leader="none"/>
        </w:tabs>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r>
      <w:r/>
    </w:p>
    <w:p>
      <w:pPr>
        <w:jc w:val="center"/>
        <w:spacing w:line="360" w:lineRule="auto"/>
        <w:tabs>
          <w:tab w:val="left" w:pos="8930" w:leader="none"/>
          <w:tab w:val="left" w:pos="9306" w:leader="none"/>
        </w:tabs>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r>
      <w:r/>
    </w:p>
    <w:p>
      <w:pPr>
        <w:jc w:val="center"/>
        <w:spacing w:line="360" w:lineRule="auto"/>
        <w:tabs>
          <w:tab w:val="left" w:pos="8930" w:leader="none"/>
          <w:tab w:val="left" w:pos="9306" w:leader="none"/>
        </w:tabs>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r>
      <w:r/>
    </w:p>
    <w:p>
      <w:pPr>
        <w:jc w:val="center"/>
        <w:spacing w:line="360" w:lineRule="auto"/>
        <w:tabs>
          <w:tab w:val="left" w:pos="8930" w:leader="none"/>
          <w:tab w:val="left" w:pos="9306" w:leader="none"/>
        </w:tabs>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r>
      <w:r/>
    </w:p>
    <w:p>
      <w:pPr>
        <w:jc w:val="center"/>
        <w:spacing w:line="360" w:lineRule="auto"/>
        <w:tabs>
          <w:tab w:val="left" w:pos="8930" w:leader="none"/>
          <w:tab w:val="left" w:pos="9306" w:leader="none"/>
        </w:tabs>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r>
      <w:r/>
    </w:p>
    <w:p>
      <w:pPr>
        <w:jc w:val="center"/>
        <w:spacing w:line="360" w:lineRule="auto"/>
        <w:tabs>
          <w:tab w:val="left" w:pos="8930" w:leader="none"/>
          <w:tab w:val="left" w:pos="9306" w:leader="none"/>
        </w:tabs>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r>
      <w:r/>
    </w:p>
    <w:p>
      <w:pPr>
        <w:jc w:val="center"/>
        <w:spacing w:line="360" w:lineRule="auto"/>
        <w:tabs>
          <w:tab w:val="left" w:pos="8930" w:leader="none"/>
          <w:tab w:val="left" w:pos="9306" w:leader="none"/>
        </w:tabs>
        <w:rPr>
          <w:rFonts w:hint="eastAsia" w:ascii="宋体" w:hAnsi="宋体" w:eastAsia="宋体" w:cs="宋体"/>
          <w:color w:val="auto"/>
          <w:highlight w:val="none"/>
        </w:rPr>
        <w:outlineLvl w:val="0"/>
      </w:pPr>
      <w:r/>
      <w:bookmarkStart w:id="45" w:name="_Toc31428"/>
      <w:r>
        <w:rPr>
          <w:rFonts w:hint="eastAsia" w:ascii="宋体" w:hAnsi="宋体" w:eastAsia="宋体" w:cs="宋体"/>
          <w:b/>
          <w:bCs/>
          <w:color w:val="auto"/>
          <w:sz w:val="52"/>
          <w:szCs w:val="52"/>
          <w:highlight w:val="none"/>
        </w:rPr>
        <w:t xml:space="preserve">第三章  磋商响应文件格式</w:t>
      </w:r>
      <w:bookmarkEnd w:id="45"/>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对本章所有的格式，磋商供应商可根据自身情况进行补充和修改，但补充和修改不得造成与本格式内容有实质性的违背。</w:t>
      </w:r>
      <w:r/>
    </w:p>
    <w:p>
      <w:pPr>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left"/>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color w:val="auto"/>
          <w:szCs w:val="21"/>
          <w:highlight w:val="none"/>
        </w:rPr>
        <w:br w:type="page" w:clear="all"/>
      </w:r>
      <w:r>
        <w:rPr>
          <w:rFonts w:hint="eastAsia" w:ascii="宋体" w:hAnsi="宋体" w:eastAsia="宋体" w:cs="宋体"/>
          <w:b/>
          <w:bCs/>
          <w:color w:val="auto"/>
          <w:sz w:val="24"/>
          <w:szCs w:val="24"/>
          <w:highlight w:val="none"/>
        </w:rPr>
        <w:t xml:space="preserve">1、（供应商）法定代表人授权委托书</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授权委托书</w:t>
      </w:r>
      <w:r/>
    </w:p>
    <w:p>
      <w:pPr>
        <w:ind w:firstLine="420"/>
        <w:jc w:val="left"/>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本授权委托书声明：我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（供应商名称）的法定代表人，现授权委托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（单位名称）的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（姓名）为我公司代理人，以本公司的名义参加涵熙（苏州）工程顾问有限公司组织实施的编号为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的磋商邀请活动。代理人在磋商活动过程中所签署的一切文件和处理与这有关的一切事务，我公司均予以承认并承担相应的法律后果。</w:t>
      </w:r>
      <w:r/>
    </w:p>
    <w:p>
      <w:pPr>
        <w:ind w:firstLine="48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代理人在授权委托书有效期内签署的所有文件不因授权委托的撤销而失效，除非本公司提前3个工作日向贵公司或者采购人提交撤销授权委托的书面通知，本授权委托书自磋商活动开始至合同履行完毕止。</w:t>
      </w:r>
      <w:r/>
    </w:p>
    <w:p>
      <w:pPr>
        <w:ind w:firstLine="48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代理人无转委托权。特此委托。</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80"/>
        <w:jc w:val="left"/>
        <w:spacing w:line="300" w:lineRule="auto"/>
        <w:rPr>
          <w:rFonts w:hint="eastAsia" w:ascii="宋体" w:hAnsi="宋体" w:eastAsia="宋体" w:cs="宋体"/>
          <w:b/>
          <w:bCs/>
          <w:color w:val="auto"/>
          <w:sz w:val="24"/>
          <w:szCs w:val="24"/>
          <w:highlight w:val="none"/>
        </w:rPr>
        <w:outlineLvl w:val="1"/>
      </w:pPr>
      <w:r>
        <w:rPr>
          <w:rFonts w:hint="eastAsia" w:ascii="宋体" w:hAnsi="宋体" w:eastAsia="宋体" w:cs="宋体"/>
          <w:color w:val="auto"/>
          <w:sz w:val="24"/>
          <w:szCs w:val="24"/>
          <w:highlight w:val="none"/>
        </w:rPr>
        <w:br w:type="page" w:clear="all"/>
      </w:r>
      <w:r>
        <w:rPr>
          <w:rFonts w:hint="eastAsia" w:ascii="宋体" w:hAnsi="宋体" w:eastAsia="宋体" w:cs="宋体"/>
          <w:b/>
          <w:bCs/>
          <w:color w:val="auto"/>
          <w:sz w:val="24"/>
          <w:szCs w:val="24"/>
          <w:highlight w:val="none"/>
        </w:rPr>
        <w:t xml:space="preserve">2、磋商响应函</w:t>
      </w:r>
      <w:r/>
    </w:p>
    <w:p>
      <w:pPr>
        <w:ind w:firstLine="482"/>
        <w:jc w:val="center"/>
        <w:spacing w:line="30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磋商响应函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涵熙（苏州）工程顾问有限公司</w:t>
      </w:r>
      <w:r>
        <w:rPr>
          <w:rFonts w:hint="eastAsia" w:ascii="宋体" w:hAnsi="宋体" w:eastAsia="宋体" w:cs="宋体"/>
          <w:color w:val="auto"/>
          <w:spacing w:val="-6"/>
          <w:sz w:val="24"/>
          <w:szCs w:val="24"/>
          <w:highlight w:val="none"/>
        </w:rPr>
        <w:t xml:space="preserve">：</w:t>
      </w:r>
      <w:r/>
    </w:p>
    <w:p>
      <w:pPr>
        <w:ind w:firstLine="47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我方已仔</w:t>
      </w:r>
      <w:r>
        <w:rPr>
          <w:rFonts w:hint="eastAsia" w:ascii="宋体" w:hAnsi="宋体" w:eastAsia="宋体" w:cs="宋体"/>
          <w:color w:val="auto"/>
          <w:sz w:val="24"/>
          <w:szCs w:val="24"/>
          <w:highlight w:val="none"/>
        </w:rPr>
        <w:t xml:space="preserve">细研究了</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项目的磋商文件，决定参加本次采购活动，并向贵公司承诺：</w:t>
      </w:r>
      <w:r/>
    </w:p>
    <w:p>
      <w:pPr>
        <w:pStyle w:val="825"/>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1、我们愿意按照采购文件的一切要求，提供完成该项目的全部内容，我们的报价包括完成该项目所需的</w:t>
      </w:r>
      <w:bookmarkStart w:id="46" w:name="OLE_LINK1"/>
      <w:r/>
      <w:bookmarkStart w:id="47" w:name="OLE_LINK2"/>
      <w:r>
        <w:rPr>
          <w:rFonts w:hint="eastAsia" w:ascii="宋体" w:hAnsi="宋体" w:eastAsia="宋体" w:cs="宋体"/>
          <w:color w:val="auto"/>
          <w:sz w:val="24"/>
          <w:szCs w:val="24"/>
          <w:highlight w:val="none"/>
        </w:rPr>
        <w:t xml:space="preserve">全部人工费、材料费、机械费、管理费、利润、工程风险、规费、应有税费，以及所需的施工准备、施工过程、保修期等所需的供货、运输、运杂保险、装卸、备品、备件、损耗、安装、调试、人员培训、售后服务、</w:t>
      </w:r>
      <w:r>
        <w:rPr>
          <w:rFonts w:hint="eastAsia" w:hAnsi="宋体" w:cs="宋体"/>
          <w:color w:val="auto"/>
          <w:sz w:val="24"/>
          <w:szCs w:val="24"/>
          <w:highlight w:val="none"/>
          <w:lang w:eastAsia="zh-CN"/>
        </w:rPr>
        <w:t xml:space="preserve">专利技术、代理服务费等</w:t>
      </w:r>
      <w:r>
        <w:rPr>
          <w:rFonts w:hint="eastAsia" w:ascii="宋体" w:hAnsi="宋体" w:eastAsia="宋体" w:cs="宋体"/>
          <w:color w:val="auto"/>
          <w:sz w:val="24"/>
          <w:szCs w:val="24"/>
          <w:highlight w:val="none"/>
        </w:rPr>
        <w:t xml:space="preserve">一切费用</w:t>
      </w:r>
      <w:bookmarkEnd w:id="46"/>
      <w:r/>
      <w:bookmarkEnd w:id="47"/>
      <w:r>
        <w:rPr>
          <w:rFonts w:hint="eastAsia" w:ascii="宋体" w:hAnsi="宋体" w:eastAsia="宋体" w:cs="宋体"/>
          <w:color w:val="auto"/>
          <w:sz w:val="24"/>
          <w:szCs w:val="24"/>
          <w:highlight w:val="none"/>
        </w:rPr>
        <w:t xml:space="preserve">。此外，除非合同条款中另有规定，否则，我方报价在合同实施期间不因市场因素、政策规定变更因素等任何因素调整。</w:t>
      </w:r>
      <w:r/>
    </w:p>
    <w:p>
      <w:pPr>
        <w:pStyle w:val="825"/>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2、如果我们的磋商响应文件被接受，我们将严格履行采购文件中规定的每一项要求，按期、按质、按量履行合同的义务。</w:t>
      </w:r>
      <w:r/>
    </w:p>
    <w:p>
      <w:pPr>
        <w:pStyle w:val="825"/>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3、我们已详细审查全部采购文件，包括更正公告(如有)。我们完全理解并同意放弃对这方面有不明及误解的权力。</w:t>
      </w:r>
      <w:r/>
    </w:p>
    <w:p>
      <w:pPr>
        <w:pStyle w:val="825"/>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4、我们同意按采购文件中的规定，本磋商响应文件的有效期限为响应文件提交截止之日起</w:t>
      </w:r>
      <w:r>
        <w:rPr>
          <w:rFonts w:hint="eastAsia" w:hAnsi="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天。如果我们在开标后规定的有效期内撤回，我们愿承担一切责任。</w:t>
      </w:r>
      <w:r/>
    </w:p>
    <w:p>
      <w:pPr>
        <w:pStyle w:val="825"/>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5、我们愿意提供采购人在采购文件中要求的所有资料。</w:t>
      </w:r>
      <w:r/>
    </w:p>
    <w:p>
      <w:pPr>
        <w:pStyle w:val="825"/>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6、我们愿意遵守采购文件中所列的收费标准。</w:t>
      </w:r>
      <w:r/>
    </w:p>
    <w:p>
      <w:pPr>
        <w:pStyle w:val="825"/>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7、我们承诺该磋商响应文件在磋商开始后的全过程中保持有效，不做任何更改和变动。我方同意被确定成交后</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若不履行响应文件的内容要求和各项承诺及义务</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即被视为违约，我方成交资格将被取消。</w:t>
      </w:r>
      <w:r/>
    </w:p>
    <w:p>
      <w:pPr>
        <w:pStyle w:val="825"/>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8、我们承诺我公司符合采购文件中“合格磋商供应商的一般条件和特殊条件”的要求，若与真实情况不符，本公司愿意承担由此而产生的一切后果。</w:t>
      </w:r>
      <w:r/>
    </w:p>
    <w:p>
      <w:pPr>
        <w:pStyle w:val="825"/>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9、我们声明：我们在参加本次政府采购活动前3年内在经营活动中没有重大违法记录。</w:t>
      </w:r>
      <w:r/>
    </w:p>
    <w:p>
      <w:pPr>
        <w:pStyle w:val="825"/>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10、如果我们成交，我们愿意按采购文件的规定支付代理服务费。</w:t>
      </w:r>
      <w:r/>
    </w:p>
    <w:p>
      <w:pPr>
        <w:pStyle w:val="825"/>
        <w:ind w:firstLine="480"/>
        <w:spacing w:line="360" w:lineRule="auto"/>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综合说明：</w:t>
      </w:r>
      <w:r/>
    </w:p>
    <w:p>
      <w:pPr>
        <w:pStyle w:val="825"/>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（1）伴随服务及配合措施；</w:t>
      </w:r>
      <w:r/>
    </w:p>
    <w:p>
      <w:pPr>
        <w:pStyle w:val="825"/>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（2）要求甲方提供的配合；</w:t>
      </w:r>
      <w:r/>
    </w:p>
    <w:p>
      <w:pPr>
        <w:pStyle w:val="825"/>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（3）对采购文件有不同意见的偏离说明；</w:t>
      </w:r>
      <w:r/>
    </w:p>
    <w:p>
      <w:pPr>
        <w:pStyle w:val="825"/>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（4）其它说明。</w:t>
      </w:r>
      <w:r/>
    </w:p>
    <w:p>
      <w:pPr>
        <w:pStyle w:val="825"/>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12、所有有关磋商响应文件的函电，请按下列地址联系：</w:t>
      </w:r>
      <w:r/>
    </w:p>
    <w:p>
      <w:pPr>
        <w:pStyle w:val="825"/>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                             联系人：</w:t>
      </w:r>
      <w:r/>
    </w:p>
    <w:p>
      <w:pPr>
        <w:pStyle w:val="825"/>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邮政编码：</w:t>
      </w:r>
      <w:r/>
    </w:p>
    <w:p>
      <w:pPr>
        <w:pStyle w:val="825"/>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电子邮箱：</w:t>
      </w:r>
      <w:r/>
    </w:p>
    <w:p>
      <w:pPr>
        <w:pStyle w:val="825"/>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w:t>
      </w:r>
      <w:r/>
    </w:p>
    <w:p>
      <w:pPr>
        <w:pStyle w:val="825"/>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银行开户行：</w:t>
      </w:r>
      <w:r/>
    </w:p>
    <w:p>
      <w:pPr>
        <w:pStyle w:val="825"/>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数字人民币开户行（如有）：</w:t>
      </w:r>
      <w:r/>
    </w:p>
    <w:p>
      <w:pPr>
        <w:pStyle w:val="825"/>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数字人民币账户（数币钱包ID）：</w:t>
      </w:r>
      <w:r/>
    </w:p>
    <w:p>
      <w:pPr>
        <w:pStyle w:val="82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24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br w:type="page" w:clear="all"/>
      </w:r>
      <w:r/>
    </w:p>
    <w:p>
      <w:pPr>
        <w:jc w:val="left"/>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3、开标一览表（第一次报价，具体按“苏采云”系统填报）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684"/>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Cs w:val="21"/>
          <w:highlight w:val="none"/>
        </w:rPr>
        <w:br w:type="page" w:clear="all"/>
      </w:r>
      <w:r>
        <w:rPr>
          <w:rFonts w:hint="eastAsia" w:ascii="宋体" w:hAnsi="宋体" w:eastAsia="宋体" w:cs="宋体"/>
          <w:b/>
          <w:bCs/>
          <w:color w:val="auto"/>
          <w:sz w:val="24"/>
          <w:szCs w:val="24"/>
          <w:highlight w:val="none"/>
        </w:rPr>
        <w:t xml:space="preserve">4、工程量清单报价表</w:t>
      </w:r>
      <w:r>
        <w:rPr>
          <w:rFonts w:hint="eastAsia" w:ascii="宋体" w:hAnsi="宋体" w:eastAsia="宋体" w:cs="宋体"/>
          <w:b/>
          <w:bCs/>
          <w:color w:val="auto"/>
          <w:sz w:val="24"/>
          <w:szCs w:val="24"/>
          <w:highlight w:val="none"/>
          <w:lang w:bidi="ar"/>
        </w:rPr>
        <w:t xml:space="preserve">（工程量清单自行下载）</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39"/>
        <w:ind w:left="0"/>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注：合计金额应与开标一览表总报价金额一致；否则，以开标一览表为准。</w:t>
      </w:r>
      <w:r/>
    </w:p>
    <w:p>
      <w:pPr>
        <w:pStyle w:val="839"/>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39"/>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pStyle w:val="824"/>
        <w:ind w:firstLine="480"/>
        <w:jc w:val="righ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szCs w:val="24"/>
          <w:highlight w:val="none"/>
        </w:rPr>
        <w:t xml:space="preserve">日期：  年  月  日</w:t>
      </w:r>
      <w:r/>
    </w:p>
    <w:p>
      <w:pPr>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68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682"/>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68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68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68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68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Cs w:val="21"/>
          <w:highlight w:val="none"/>
        </w:rPr>
        <w:br w:type="page" w:clear="all"/>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、关于资格文件的声明函</w:t>
      </w: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关于资格文件的声明函</w:t>
      </w:r>
      <w:r/>
    </w:p>
    <w:p>
      <w:pPr>
        <w:jc w:val="left"/>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u w:val="single"/>
        </w:rPr>
        <w:t xml:space="preserve">涵熙（苏州）工程顾问有限公司</w:t>
      </w:r>
      <w:r>
        <w:rPr>
          <w:rFonts w:hint="eastAsia" w:ascii="宋体" w:hAnsi="宋体" w:eastAsia="宋体" w:cs="宋体"/>
          <w:color w:val="auto"/>
          <w:sz w:val="24"/>
          <w:szCs w:val="24"/>
          <w:highlight w:val="none"/>
        </w:rPr>
        <w:t xml:space="preserve">：</w:t>
      </w:r>
      <w:r/>
    </w:p>
    <w:p>
      <w:pPr>
        <w:ind w:firstLine="420"/>
        <w:jc w:val="left"/>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本公司愿就由贵公司组织实施的编号为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的磋商活动进行商务磋商。本公司所提交的商务、技术及报价文件中所有关于磋商资格的文件、证明和陈述均是真实的、准确的。若与真实情况不符，本公司愿意承担由此而产生的一切后果。</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jc w:val="left"/>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lang w:val="en-US" w:eastAsia="zh-CN"/>
        </w:rPr>
        <w:t xml:space="preserve">基本</w:t>
      </w:r>
      <w:r>
        <w:rPr>
          <w:rFonts w:hint="eastAsia" w:ascii="宋体" w:hAnsi="宋体" w:eastAsia="宋体" w:cs="宋体"/>
          <w:b/>
          <w:bCs/>
          <w:color w:val="auto"/>
          <w:sz w:val="24"/>
          <w:szCs w:val="24"/>
          <w:highlight w:val="none"/>
        </w:rPr>
        <w:t xml:space="preserve">情况表</w:t>
      </w:r>
      <w:r/>
    </w:p>
    <w:p>
      <w:pPr>
        <w:jc w:val="center"/>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lang w:val="en-US" w:eastAsia="zh-CN"/>
        </w:rPr>
        <w:t xml:space="preserve">基本</w:t>
      </w:r>
      <w:r>
        <w:rPr>
          <w:rFonts w:hint="eastAsia" w:ascii="宋体" w:hAnsi="宋体" w:eastAsia="宋体" w:cs="宋体"/>
          <w:b/>
          <w:bCs/>
          <w:color w:val="auto"/>
          <w:sz w:val="24"/>
          <w:szCs w:val="24"/>
          <w:highlight w:val="none"/>
        </w:rPr>
        <w:t xml:space="preserve">情况表</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6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68"/>
        <w:gridCol w:w="1950"/>
        <w:gridCol w:w="1417"/>
        <w:gridCol w:w="1518"/>
        <w:gridCol w:w="1120"/>
      </w:tblGrid>
      <w:tr>
        <w:trPr>
          <w:cantSplit/>
          <w:jc w:val="center"/>
          <w:trHeight w:val="567"/>
        </w:trPr>
        <w:tc>
          <w:tcPr>
            <w:tcW w:w="3468" w:type="dxa"/>
            <w:vAlign w:val="center"/>
            <w:textDirection w:val="lrTb"/>
            <w:noWrap w:val="false"/>
          </w:tcPr>
          <w:p>
            <w:pPr>
              <w:jc w:val="lef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法定代表人</w:t>
            </w:r>
            <w:r/>
          </w:p>
        </w:tc>
        <w:tc>
          <w:tcPr>
            <w:tcW w:w="195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7" w:type="dxa"/>
            <w:vAlign w:val="center"/>
            <w:textDirection w:val="lrTb"/>
            <w:noWrap w:val="false"/>
          </w:tcPr>
          <w:p>
            <w:pPr>
              <w:jc w:val="lef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成立日期</w:t>
            </w:r>
            <w:r/>
          </w:p>
        </w:tc>
        <w:tc>
          <w:tcPr>
            <w:gridSpan w:val="2"/>
            <w:tcW w:w="2638"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567"/>
        </w:trPr>
        <w:tc>
          <w:tcPr>
            <w:tcW w:w="3468" w:type="dxa"/>
            <w:vAlign w:val="center"/>
            <w:textDirection w:val="lrTb"/>
            <w:noWrap w:val="false"/>
          </w:tcPr>
          <w:p>
            <w:pPr>
              <w:jc w:val="lef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企业地址</w:t>
            </w:r>
            <w:r/>
          </w:p>
        </w:tc>
        <w:tc>
          <w:tcPr>
            <w:tcW w:w="195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7" w:type="dxa"/>
            <w:vAlign w:val="center"/>
            <w:textDirection w:val="lrTb"/>
            <w:noWrap w:val="false"/>
          </w:tcPr>
          <w:p>
            <w:pPr>
              <w:jc w:val="lef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注册资本</w:t>
            </w:r>
            <w:r/>
          </w:p>
        </w:tc>
        <w:tc>
          <w:tcPr>
            <w:gridSpan w:val="2"/>
            <w:tcW w:w="2638" w:type="dxa"/>
            <w:vAlign w:val="center"/>
            <w:textDirection w:val="lrTb"/>
            <w:noWrap w:val="false"/>
          </w:tcPr>
          <w:p>
            <w:pPr>
              <w:jc w:val="righ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万元</w:t>
            </w:r>
            <w:r/>
          </w:p>
        </w:tc>
      </w:tr>
      <w:tr>
        <w:trPr>
          <w:cantSplit/>
          <w:jc w:val="center"/>
          <w:trHeight w:val="567"/>
        </w:trPr>
        <w:tc>
          <w:tcPr>
            <w:tcW w:w="3468" w:type="dxa"/>
            <w:vAlign w:val="center"/>
            <w:textDirection w:val="lrTb"/>
            <w:noWrap w:val="false"/>
          </w:tcPr>
          <w:p>
            <w:pPr>
              <w:jc w:val="lef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经营范围</w:t>
            </w:r>
            <w:r/>
          </w:p>
        </w:tc>
        <w:tc>
          <w:tcPr>
            <w:gridSpan w:val="4"/>
            <w:tcW w:w="6005"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567"/>
        </w:trPr>
        <w:tc>
          <w:tcPr>
            <w:tcW w:w="3468" w:type="dxa"/>
            <w:vAlign w:val="center"/>
            <w:textDirection w:val="lrTb"/>
            <w:noWrap w:val="false"/>
          </w:tcPr>
          <w:p>
            <w:pPr>
              <w:jc w:val="lef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职工人数</w:t>
            </w:r>
            <w:r/>
          </w:p>
        </w:tc>
        <w:tc>
          <w:tcPr>
            <w:tcW w:w="195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935" w:type="dxa"/>
            <w:vAlign w:val="center"/>
            <w:textDirection w:val="lrTb"/>
            <w:noWrap w:val="false"/>
          </w:tcPr>
          <w:p>
            <w:pPr>
              <w:jc w:val="lef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其中：有中高级以上职称的人数</w:t>
            </w:r>
            <w:r/>
          </w:p>
        </w:tc>
        <w:tc>
          <w:tcPr>
            <w:tcW w:w="112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567"/>
        </w:trPr>
        <w:tc>
          <w:tcPr>
            <w:tcW w:w="3468" w:type="dxa"/>
            <w:vAlign w:val="center"/>
            <w:textDirection w:val="lrTb"/>
            <w:noWrap w:val="false"/>
          </w:tcPr>
          <w:p>
            <w:pPr>
              <w:jc w:val="lef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资产总计</w:t>
            </w:r>
            <w:r/>
          </w:p>
        </w:tc>
        <w:tc>
          <w:tcPr>
            <w:tcW w:w="1950" w:type="dxa"/>
            <w:vAlign w:val="center"/>
            <w:textDirection w:val="lrTb"/>
            <w:noWrap w:val="false"/>
          </w:tcPr>
          <w:p>
            <w:pPr>
              <w:jc w:val="righ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万元</w:t>
            </w:r>
            <w:r/>
          </w:p>
        </w:tc>
        <w:tc>
          <w:tcPr>
            <w:tcW w:w="1417" w:type="dxa"/>
            <w:vAlign w:val="center"/>
            <w:textDirection w:val="lrTb"/>
            <w:noWrap w:val="false"/>
          </w:tcPr>
          <w:p>
            <w:pPr>
              <w:jc w:val="lef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净资产</w:t>
            </w:r>
            <w:r/>
          </w:p>
        </w:tc>
        <w:tc>
          <w:tcPr>
            <w:gridSpan w:val="2"/>
            <w:tcW w:w="2638" w:type="dxa"/>
            <w:vAlign w:val="center"/>
            <w:textDirection w:val="lrTb"/>
            <w:noWrap w:val="false"/>
          </w:tcPr>
          <w:p>
            <w:pPr>
              <w:jc w:val="cente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万元</w:t>
            </w:r>
            <w:r/>
          </w:p>
        </w:tc>
      </w:tr>
      <w:tr>
        <w:trPr>
          <w:cantSplit/>
          <w:jc w:val="center"/>
          <w:trHeight w:val="567"/>
        </w:trPr>
        <w:tc>
          <w:tcPr>
            <w:tcW w:w="3468" w:type="dxa"/>
            <w:vAlign w:val="center"/>
            <w:textDirection w:val="lrTb"/>
            <w:noWrap w:val="false"/>
          </w:tcPr>
          <w:p>
            <w:pPr>
              <w:jc w:val="lef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股东权益</w:t>
            </w:r>
            <w:r/>
          </w:p>
        </w:tc>
        <w:tc>
          <w:tcPr>
            <w:tcW w:w="1950" w:type="dxa"/>
            <w:vAlign w:val="center"/>
            <w:textDirection w:val="lrTb"/>
            <w:noWrap w:val="false"/>
          </w:tcPr>
          <w:p>
            <w:pPr>
              <w:jc w:val="righ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万元</w:t>
            </w:r>
            <w:r/>
          </w:p>
        </w:tc>
        <w:tc>
          <w:tcPr>
            <w:tcW w:w="1417" w:type="dxa"/>
            <w:vAlign w:val="center"/>
            <w:textDirection w:val="lrTb"/>
            <w:noWrap w:val="false"/>
          </w:tcPr>
          <w:p>
            <w:pPr>
              <w:jc w:val="lef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销售收入</w:t>
            </w:r>
            <w:r/>
          </w:p>
        </w:tc>
        <w:tc>
          <w:tcPr>
            <w:gridSpan w:val="2"/>
            <w:tcW w:w="2638" w:type="dxa"/>
            <w:vAlign w:val="center"/>
            <w:textDirection w:val="lrTb"/>
            <w:noWrap w:val="false"/>
          </w:tcPr>
          <w:p>
            <w:pPr>
              <w:jc w:val="lef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       万元</w:t>
            </w:r>
            <w:r/>
          </w:p>
        </w:tc>
      </w:tr>
      <w:tr>
        <w:trPr>
          <w:cantSplit/>
          <w:jc w:val="center"/>
          <w:trHeight w:val="567"/>
        </w:trPr>
        <w:tc>
          <w:tcPr>
            <w:tcW w:w="3468" w:type="dxa"/>
            <w:vAlign w:val="center"/>
            <w:textDirection w:val="lrTb"/>
            <w:noWrap w:val="false"/>
          </w:tcPr>
          <w:p>
            <w:pPr>
              <w:jc w:val="lef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实现利润</w:t>
            </w:r>
            <w:r/>
          </w:p>
        </w:tc>
        <w:tc>
          <w:tcPr>
            <w:gridSpan w:val="4"/>
            <w:tcW w:w="6005" w:type="dxa"/>
            <w:vAlign w:val="center"/>
            <w:textDirection w:val="lrTb"/>
            <w:noWrap w:val="false"/>
          </w:tcPr>
          <w:p>
            <w:pPr>
              <w:jc w:val="lef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    万元</w:t>
            </w:r>
            <w:r/>
          </w:p>
        </w:tc>
      </w:tr>
      <w:tr>
        <w:trPr>
          <w:cantSplit/>
          <w:jc w:val="center"/>
          <w:trHeight w:val="567"/>
        </w:trPr>
        <w:tc>
          <w:tcPr>
            <w:tcW w:w="3468" w:type="dxa"/>
            <w:vAlign w:val="center"/>
            <w:textDirection w:val="lrTb"/>
            <w:noWrap w:val="false"/>
          </w:tcPr>
          <w:p>
            <w:pPr>
              <w:jc w:val="lef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经营面积</w:t>
            </w:r>
            <w:r/>
          </w:p>
        </w:tc>
        <w:tc>
          <w:tcPr>
            <w:tcW w:w="1950" w:type="dxa"/>
            <w:vAlign w:val="center"/>
            <w:textDirection w:val="lrTb"/>
            <w:noWrap w:val="false"/>
          </w:tcPr>
          <w:p>
            <w:pPr>
              <w:jc w:val="righ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平方米</w:t>
            </w:r>
            <w:r/>
          </w:p>
        </w:tc>
        <w:tc>
          <w:tcPr>
            <w:tcW w:w="1417" w:type="dxa"/>
            <w:vAlign w:val="center"/>
            <w:textDirection w:val="lrTb"/>
            <w:noWrap w:val="false"/>
          </w:tcPr>
          <w:p>
            <w:pPr>
              <w:jc w:val="lef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其中：</w:t>
            </w:r>
            <w:r/>
          </w:p>
        </w:tc>
        <w:tc>
          <w:tcPr>
            <w:gridSpan w:val="2"/>
            <w:tcW w:w="2638" w:type="dxa"/>
            <w:vAlign w:val="center"/>
            <w:textDirection w:val="lrTb"/>
            <w:noWrap w:val="false"/>
          </w:tcPr>
          <w:p>
            <w:pPr>
              <w:jc w:val="lef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自有面积     平方米</w:t>
            </w:r>
            <w:r/>
          </w:p>
          <w:p>
            <w:pPr>
              <w:jc w:val="lef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承租面积     平方米</w:t>
            </w:r>
            <w:r/>
          </w:p>
        </w:tc>
      </w:tr>
      <w:tr>
        <w:trPr>
          <w:cantSplit/>
          <w:jc w:val="center"/>
          <w:trHeight w:val="567"/>
        </w:trPr>
        <w:tc>
          <w:tcPr>
            <w:tcW w:w="3468" w:type="dxa"/>
            <w:vAlign w:val="center"/>
            <w:textDirection w:val="lrTb"/>
            <w:noWrap w:val="false"/>
          </w:tcPr>
          <w:p>
            <w:pPr>
              <w:jc w:val="lef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单位简历及内设机构情况</w:t>
            </w:r>
            <w:r/>
          </w:p>
        </w:tc>
        <w:tc>
          <w:tcPr>
            <w:gridSpan w:val="4"/>
            <w:tcW w:w="6005"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567"/>
        </w:trPr>
        <w:tc>
          <w:tcPr>
            <w:tcW w:w="3468" w:type="dxa"/>
            <w:vAlign w:val="center"/>
            <w:textDirection w:val="lrTb"/>
            <w:noWrap w:val="false"/>
          </w:tcPr>
          <w:p>
            <w:pPr>
              <w:jc w:val="lef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单位优势及特长</w:t>
            </w:r>
            <w:r/>
          </w:p>
        </w:tc>
        <w:tc>
          <w:tcPr>
            <w:gridSpan w:val="4"/>
            <w:tcW w:w="6005"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762"/>
        </w:trPr>
        <w:tc>
          <w:tcPr>
            <w:tcW w:w="3468" w:type="dxa"/>
            <w:vAlign w:val="center"/>
            <w:textDirection w:val="lrTb"/>
            <w:noWrap w:val="false"/>
          </w:tcPr>
          <w:p>
            <w:pPr>
              <w:jc w:val="lef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近三年来完成或正在履行的重大合同情况</w:t>
            </w:r>
            <w:r/>
          </w:p>
        </w:tc>
        <w:tc>
          <w:tcPr>
            <w:gridSpan w:val="4"/>
            <w:tcW w:w="6005"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762"/>
        </w:trPr>
        <w:tc>
          <w:tcPr>
            <w:tcW w:w="3468" w:type="dxa"/>
            <w:vAlign w:val="center"/>
            <w:textDirection w:val="lrTb"/>
            <w:noWrap w:val="false"/>
          </w:tcPr>
          <w:p>
            <w:pPr>
              <w:jc w:val="lef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最近2年内在经营过程中受到何种奖励或处分</w:t>
            </w:r>
            <w:r/>
          </w:p>
        </w:tc>
        <w:tc>
          <w:tcPr>
            <w:gridSpan w:val="4"/>
            <w:tcW w:w="6005" w:type="dxa"/>
            <w:vAlign w:val="center"/>
            <w:textDirection w:val="lrTb"/>
            <w:noWrap w:val="false"/>
          </w:tcPr>
          <w:p>
            <w:pPr>
              <w:jc w:val="lef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（包括财政、工商、税务、物价、技监部门稽查情况和结果）</w:t>
            </w:r>
            <w:r/>
          </w:p>
        </w:tc>
      </w:tr>
      <w:tr>
        <w:trPr>
          <w:cantSplit/>
          <w:jc w:val="center"/>
          <w:trHeight w:val="1092"/>
        </w:trPr>
        <w:tc>
          <w:tcPr>
            <w:tcW w:w="3468" w:type="dxa"/>
            <w:vAlign w:val="center"/>
            <w:textDirection w:val="lrTb"/>
            <w:noWrap w:val="false"/>
          </w:tcPr>
          <w:p>
            <w:pPr>
              <w:jc w:val="lef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最近3年内有无因售假、售劣或是其他原因被消费者投诉或起诉的情况及说明</w:t>
            </w:r>
            <w:r/>
          </w:p>
        </w:tc>
        <w:tc>
          <w:tcPr>
            <w:gridSpan w:val="4"/>
            <w:tcW w:w="6005" w:type="dxa"/>
            <w:vAlign w:val="center"/>
            <w:textDirection w:val="lrTb"/>
            <w:noWrap w:val="false"/>
          </w:tcPr>
          <w:p>
            <w:pPr>
              <w:jc w:val="lef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（包括解决方式和结果）</w:t>
            </w:r>
            <w:r/>
          </w:p>
        </w:tc>
      </w:tr>
      <w:tr>
        <w:trPr>
          <w:cantSplit/>
          <w:jc w:val="center"/>
          <w:trHeight w:val="1073"/>
        </w:trPr>
        <w:tc>
          <w:tcPr>
            <w:tcW w:w="3468" w:type="dxa"/>
            <w:vAlign w:val="center"/>
            <w:textDirection w:val="lrTb"/>
            <w:noWrap w:val="false"/>
          </w:tcPr>
          <w:p>
            <w:pPr>
              <w:jc w:val="lef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最近3年内主要负责人有无经济犯罪被司法机关追究的情意及说明</w:t>
            </w:r>
            <w:r/>
          </w:p>
        </w:tc>
        <w:tc>
          <w:tcPr>
            <w:gridSpan w:val="4"/>
            <w:tcW w:w="6005"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35"/>
        </w:trPr>
        <w:tc>
          <w:tcPr>
            <w:tcW w:w="3468" w:type="dxa"/>
            <w:vAlign w:val="center"/>
            <w:textDirection w:val="lrTb"/>
            <w:noWrap w:val="false"/>
          </w:tcPr>
          <w:p>
            <w:pPr>
              <w:jc w:val="lef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获得技术认证的工程师及简介</w:t>
            </w:r>
            <w:r/>
          </w:p>
        </w:tc>
        <w:tc>
          <w:tcPr>
            <w:gridSpan w:val="4"/>
            <w:tcW w:w="6005"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700"/>
        </w:trPr>
        <w:tc>
          <w:tcPr>
            <w:tcW w:w="3468" w:type="dxa"/>
            <w:vAlign w:val="center"/>
            <w:textDirection w:val="lrTb"/>
            <w:noWrap w:val="false"/>
          </w:tcPr>
          <w:p>
            <w:pPr>
              <w:jc w:val="lef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其他需要说明的情况</w:t>
            </w:r>
            <w:r/>
          </w:p>
        </w:tc>
        <w:tc>
          <w:tcPr>
            <w:gridSpan w:val="4"/>
            <w:tcW w:w="6005"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br w:type="page" w:clear="all"/>
      </w:r>
      <w:r/>
    </w:p>
    <w:p>
      <w:pP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eastAsia="zh-CN"/>
        </w:rPr>
        <w:t xml:space="preserve">供应商与其他单位存在直接控股、管理关系情况表</w:t>
      </w:r>
      <w:r/>
    </w:p>
    <w:p>
      <w:pPr>
        <w:pStyle w:val="688"/>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00" w:lineRule="auto"/>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供应商与其他单位存在直接控股、管理关系情况表</w:t>
      </w:r>
      <w:r/>
    </w:p>
    <w:p>
      <w:pPr>
        <w:pStyle w:val="68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bl>
      <w:tblPr>
        <w:tblStyle w:val="6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1653"/>
        <w:gridCol w:w="1653"/>
        <w:gridCol w:w="1823"/>
        <w:gridCol w:w="664"/>
        <w:gridCol w:w="1653"/>
        <w:gridCol w:w="1138"/>
      </w:tblGrid>
      <w:tr>
        <w:trPr>
          <w:jc w:val="center"/>
          <w:trHeight w:val="766"/>
        </w:trPr>
        <w:tc>
          <w:tcPr>
            <w:gridSpan w:val="4"/>
            <w:tcW w:w="579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与</w:t>
            </w:r>
            <w:r>
              <w:rPr>
                <w:rFonts w:hint="eastAsia" w:ascii="宋体" w:hAnsi="宋体" w:eastAsia="宋体" w:cs="宋体"/>
                <w:b/>
                <w:color w:val="auto"/>
                <w:sz w:val="24"/>
                <w:szCs w:val="24"/>
                <w:highlight w:val="none"/>
              </w:rPr>
              <w:t xml:space="preserve">供应商</w:t>
            </w:r>
            <w:r>
              <w:rPr>
                <w:rFonts w:hint="eastAsia" w:ascii="宋体" w:hAnsi="宋体" w:eastAsia="宋体" w:cs="宋体"/>
                <w:b/>
                <w:color w:val="auto"/>
                <w:sz w:val="24"/>
                <w:szCs w:val="24"/>
                <w:highlight w:val="none"/>
                <w:shd w:val="clear" w:color="auto" w:fill="ffffff"/>
              </w:rPr>
              <w:t xml:space="preserve">存在直接股权关系</w:t>
            </w:r>
            <w:r/>
          </w:p>
        </w:tc>
        <w:tc>
          <w:tcPr>
            <w:gridSpan w:val="3"/>
            <w:tcW w:w="3455"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与</w:t>
            </w:r>
            <w:r>
              <w:rPr>
                <w:rFonts w:hint="eastAsia" w:ascii="宋体" w:hAnsi="宋体" w:eastAsia="宋体" w:cs="宋体"/>
                <w:b/>
                <w:color w:val="auto"/>
                <w:sz w:val="24"/>
                <w:szCs w:val="24"/>
                <w:highlight w:val="none"/>
              </w:rPr>
              <w:t xml:space="preserve">供应商</w:t>
            </w:r>
            <w:r>
              <w:rPr>
                <w:rFonts w:hint="eastAsia" w:ascii="宋体" w:hAnsi="宋体" w:eastAsia="宋体" w:cs="宋体"/>
                <w:b/>
                <w:color w:val="auto"/>
                <w:sz w:val="24"/>
                <w:szCs w:val="24"/>
                <w:highlight w:val="none"/>
                <w:shd w:val="clear" w:color="auto" w:fill="ffffff"/>
              </w:rPr>
              <w:t xml:space="preserve">存在直接管理关系</w:t>
            </w:r>
            <w:r/>
          </w:p>
        </w:tc>
      </w:tr>
      <w:tr>
        <w:trPr>
          <w:jc w:val="center"/>
          <w:trHeight w:val="768"/>
        </w:trPr>
        <w:tc>
          <w:tcPr>
            <w:tcW w:w="66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单位名称</w:t>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是否为大型企业</w:t>
            </w:r>
            <w:r/>
          </w:p>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（填写“是”或 “否”）</w:t>
            </w:r>
            <w:r/>
          </w:p>
        </w:tc>
        <w:tc>
          <w:tcPr>
            <w:tcW w:w="1653" w:type="dxa"/>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是否直接控股</w:t>
            </w:r>
            <w:r/>
          </w:p>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（填写“是”或 “否”）</w:t>
            </w:r>
            <w:r/>
          </w:p>
        </w:tc>
        <w:tc>
          <w:tcPr>
            <w:tcW w:w="182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直接控股关系情况说明（持股比例等）</w:t>
            </w:r>
            <w:r/>
          </w:p>
        </w:tc>
        <w:tc>
          <w:tcPr>
            <w:tcW w:w="66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单位名称</w:t>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是否为大型企业</w:t>
            </w:r>
            <w:r/>
          </w:p>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（填写“是”或 “否”）</w:t>
            </w:r>
            <w:r/>
          </w:p>
        </w:tc>
        <w:tc>
          <w:tcPr>
            <w:tcW w:w="1138"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直接管理关系情况说明</w:t>
            </w:r>
            <w:r/>
          </w:p>
        </w:tc>
      </w:tr>
      <w:tr>
        <w:trPr>
          <w:jc w:val="center"/>
          <w:trHeight w:val="850"/>
        </w:trPr>
        <w:tc>
          <w:tcPr>
            <w:tcW w:w="66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82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66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138"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850"/>
        </w:trPr>
        <w:tc>
          <w:tcPr>
            <w:tcW w:w="66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82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66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138"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850"/>
        </w:trPr>
        <w:tc>
          <w:tcPr>
            <w:tcW w:w="66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82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66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138"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850"/>
        </w:trPr>
        <w:tc>
          <w:tcPr>
            <w:tcW w:w="66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82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66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138"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850"/>
        </w:trPr>
        <w:tc>
          <w:tcPr>
            <w:tcW w:w="66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82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66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138"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850"/>
        </w:trPr>
        <w:tc>
          <w:tcPr>
            <w:tcW w:w="66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82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66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138"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bl>
    <w:p>
      <w:pPr>
        <w:ind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注1：本表仅</w:t>
      </w:r>
      <w:r>
        <w:rPr>
          <w:rFonts w:hint="eastAsia" w:ascii="宋体" w:hAnsi="宋体" w:cs="宋体"/>
          <w:b/>
          <w:color w:val="auto"/>
          <w:sz w:val="24"/>
          <w:szCs w:val="24"/>
          <w:highlight w:val="none"/>
          <w:shd w:val="clear" w:color="auto" w:fill="ffffff"/>
          <w:lang w:val="en-US" w:eastAsia="zh-CN"/>
        </w:rPr>
        <w:t xml:space="preserve">需</w:t>
      </w:r>
      <w:r>
        <w:rPr>
          <w:rFonts w:hint="eastAsia" w:ascii="宋体" w:hAnsi="宋体" w:eastAsia="宋体" w:cs="宋体"/>
          <w:b/>
          <w:color w:val="auto"/>
          <w:sz w:val="24"/>
          <w:szCs w:val="24"/>
          <w:highlight w:val="none"/>
          <w:shd w:val="clear" w:color="auto" w:fill="ffffff"/>
        </w:rPr>
        <w:t xml:space="preserve">填写与</w:t>
      </w:r>
      <w:r>
        <w:rPr>
          <w:rFonts w:hint="eastAsia" w:ascii="宋体" w:hAnsi="宋体" w:eastAsia="宋体" w:cs="宋体"/>
          <w:b/>
          <w:color w:val="auto"/>
          <w:sz w:val="24"/>
          <w:szCs w:val="24"/>
          <w:highlight w:val="none"/>
        </w:rPr>
        <w:t xml:space="preserve">供应商</w:t>
      </w:r>
      <w:r>
        <w:rPr>
          <w:rFonts w:hint="eastAsia" w:ascii="宋体" w:hAnsi="宋体" w:eastAsia="宋体" w:cs="宋体"/>
          <w:b/>
          <w:color w:val="auto"/>
          <w:sz w:val="24"/>
          <w:szCs w:val="24"/>
          <w:highlight w:val="none"/>
          <w:shd w:val="clear" w:color="auto" w:fill="ffffff"/>
        </w:rPr>
        <w:t xml:space="preserve">存在直接股权、管理关系的企业情况。</w:t>
      </w:r>
      <w:r>
        <w:rPr>
          <w:rFonts w:hint="eastAsia" w:ascii="宋体" w:hAnsi="宋体" w:eastAsia="宋体" w:cs="宋体"/>
          <w:b/>
          <w:color w:val="auto"/>
          <w:sz w:val="24"/>
          <w:szCs w:val="24"/>
          <w:highlight w:val="none"/>
        </w:rPr>
        <w:t xml:space="preserve">供应商</w:t>
      </w:r>
      <w:r>
        <w:rPr>
          <w:rFonts w:hint="eastAsia" w:ascii="宋体" w:hAnsi="宋体" w:eastAsia="宋体" w:cs="宋体"/>
          <w:b/>
          <w:color w:val="auto"/>
          <w:sz w:val="24"/>
          <w:szCs w:val="24"/>
          <w:highlight w:val="none"/>
          <w:shd w:val="clear" w:color="auto" w:fill="ffffff"/>
        </w:rPr>
        <w:t xml:space="preserve">应按上表要求据实填写，如填写“无”或不填写，均视为</w:t>
      </w:r>
      <w:r>
        <w:rPr>
          <w:rFonts w:hint="eastAsia" w:ascii="宋体" w:hAnsi="宋体" w:eastAsia="宋体" w:cs="宋体"/>
          <w:b/>
          <w:color w:val="auto"/>
          <w:sz w:val="24"/>
          <w:szCs w:val="24"/>
          <w:highlight w:val="none"/>
        </w:rPr>
        <w:t xml:space="preserve">供应商</w:t>
      </w:r>
      <w:r>
        <w:rPr>
          <w:rFonts w:hint="eastAsia" w:ascii="宋体" w:hAnsi="宋体" w:eastAsia="宋体" w:cs="宋体"/>
          <w:b/>
          <w:color w:val="auto"/>
          <w:sz w:val="24"/>
          <w:szCs w:val="24"/>
          <w:highlight w:val="none"/>
          <w:shd w:val="clear" w:color="auto" w:fill="ffffff"/>
        </w:rPr>
        <w:t xml:space="preserve">声明不存在有关情形。</w:t>
      </w:r>
      <w:r/>
    </w:p>
    <w:p>
      <w:pPr>
        <w:ind w:firstLine="482"/>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shd w:val="clear" w:color="auto" w:fill="ffffff"/>
        </w:rPr>
        <w:t xml:space="preserve">注2：其中“直接控股”是指</w:t>
      </w:r>
      <w:r>
        <w:rPr>
          <w:rFonts w:hint="eastAsia" w:ascii="宋体" w:hAnsi="宋体" w:eastAsia="宋体" w:cs="宋体"/>
          <w:b/>
          <w:color w:val="auto"/>
          <w:sz w:val="24"/>
          <w:szCs w:val="24"/>
          <w:highlight w:val="none"/>
        </w:rPr>
        <w:t xml:space="preserve">供应商</w:t>
      </w:r>
      <w:r>
        <w:rPr>
          <w:rFonts w:hint="eastAsia" w:ascii="宋体" w:hAnsi="宋体" w:eastAsia="宋体" w:cs="宋体"/>
          <w:b/>
          <w:color w:val="auto"/>
          <w:sz w:val="24"/>
          <w:szCs w:val="24"/>
          <w:highlight w:val="none"/>
          <w:shd w:val="clear" w:color="auto" w:fill="ffffff"/>
        </w:rPr>
        <w:t xml:space="preserve">与大型企业之间存在直接投资并控股（非普通持股）的关系。</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br w:type="page" w:clear="all"/>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、商务条款偏离表</w:t>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商务条款偏离表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681"/>
        <w:tblW w:w="0" w:type="auto"/>
        <w:jc w:val="center"/>
        <w:tblLayout w:type="fixed"/>
        <w:tblCellMar>
          <w:left w:w="0" w:type="dxa"/>
          <w:top w:w="0" w:type="dxa"/>
          <w:right w:w="0" w:type="dxa"/>
          <w:bottom w:w="0" w:type="dxa"/>
        </w:tblCellMar>
        <w:tblLook w:val="04A0" w:firstRow="1" w:lastRow="0" w:firstColumn="1" w:lastColumn="0" w:noHBand="0" w:noVBand="1"/>
      </w:tblPr>
      <w:tblGrid>
        <w:gridCol w:w="958"/>
        <w:gridCol w:w="2212"/>
        <w:gridCol w:w="2652"/>
        <w:gridCol w:w="2675"/>
        <w:gridCol w:w="1085"/>
      </w:tblGrid>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磋商文件条目号</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磋商文件的商务条款</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响应文件的商务条款</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682"/>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的磋商文件（除服务要求部分）与磋商文件规定的有偏离的，应在此表中说明。未在上表中说明的，如在响应文件其他内容中已有文字说明的，则以已有文字说明为准，否则，将被认为完全响应磋商文件的规定。但该表不作为</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对所响应服务关于商务条款等详细描述和说明的替代。</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pStyle w:val="824"/>
        <w:ind w:firstLine="480"/>
        <w:jc w:val="righ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szCs w:val="24"/>
          <w:highlight w:val="none"/>
        </w:rPr>
        <w:t xml:space="preserve">日期：  年  月  日</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、技术或服务要求偏离表</w:t>
      </w:r>
      <w:r/>
    </w:p>
    <w:p>
      <w:pPr>
        <w:jc w:val="cente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技术或服务要求偏离表</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681"/>
        <w:tblW w:w="0" w:type="auto"/>
        <w:tblInd w:w="0" w:type="dxa"/>
        <w:tblLayout w:type="fixed"/>
        <w:tblCellMar>
          <w:left w:w="0" w:type="dxa"/>
          <w:top w:w="0" w:type="dxa"/>
          <w:right w:w="0" w:type="dxa"/>
          <w:bottom w:w="0" w:type="dxa"/>
        </w:tblCellMar>
        <w:tblLook w:val="04A0" w:firstRow="1" w:lastRow="0" w:firstColumn="1" w:lastColumn="0" w:noHBand="0" w:noVBand="1"/>
      </w:tblPr>
      <w:tblGrid>
        <w:gridCol w:w="630"/>
        <w:gridCol w:w="1494"/>
        <w:gridCol w:w="1988"/>
        <w:gridCol w:w="1988"/>
        <w:gridCol w:w="1501"/>
        <w:gridCol w:w="1379"/>
      </w:tblGrid>
      <w:tr>
        <w:trPr>
          <w:trHeight w:val="1127"/>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服务内容</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采购要求</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响应要求</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偏离/响应</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tc>
      </w:tr>
      <w:tr>
        <w:trPr>
          <w:trHeight w:val="725"/>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5"/>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5"/>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5"/>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5"/>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5"/>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5"/>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9"/>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应对照磋商文件服务/技术要求等要求，所响应服务/技术与磋商文件的规定有偏离的，应在此表中申明与服务/技术要求条文的偏差和例外。</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2、未在上表中说明的，如在响应文件其他内容中已有文字说明的，则以已有文字说明为准，否则，将被认为完全响应磋商文件的规定。但该表不作为</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对所响应服务/技术关于服务/技术要求等详细描述和说明的替代。</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pStyle w:val="824"/>
        <w:ind w:firstLine="480"/>
        <w:jc w:val="righ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szCs w:val="24"/>
          <w:highlight w:val="none"/>
        </w:rPr>
        <w:t xml:space="preserve">日期：  年  月  日</w:t>
      </w:r>
      <w:r/>
    </w:p>
    <w:p>
      <w:pPr>
        <w:ind w:firstLine="420"/>
        <w:jc w:val="left"/>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br w:type="page" w:clear="all"/>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rPr>
        <w:t xml:space="preserve">、投入本项目人员配备一览表</w:t>
      </w:r>
      <w:r/>
    </w:p>
    <w:p>
      <w:pPr>
        <w:ind w:left="825"/>
        <w:jc w:val="center"/>
        <w:spacing w:before="218" w:line="219" w:lineRule="auto"/>
        <w:rPr>
          <w:rFonts w:hint="eastAsia" w:ascii="宋体" w:hAnsi="宋体" w:eastAsia="宋体" w:cs="宋体"/>
          <w:b/>
          <w:color w:val="auto"/>
          <w:spacing w:val="-1"/>
          <w:sz w:val="24"/>
          <w:szCs w:val="24"/>
          <w:highlight w:val="none"/>
        </w:rPr>
      </w:pPr>
      <w:r>
        <w:rPr>
          <w:rFonts w:hint="eastAsia" w:ascii="宋体" w:hAnsi="宋体" w:eastAsia="宋体" w:cs="宋体"/>
          <w:b/>
          <w:color w:val="auto"/>
          <w:spacing w:val="-1"/>
          <w:sz w:val="24"/>
          <w:szCs w:val="24"/>
          <w:highlight w:val="none"/>
        </w:rPr>
        <w:t xml:space="preserve">投入本项目人员配备一览表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08"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681"/>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05"/>
        <w:gridCol w:w="987"/>
        <w:gridCol w:w="936"/>
        <w:gridCol w:w="729"/>
        <w:gridCol w:w="631"/>
        <w:gridCol w:w="756"/>
        <w:gridCol w:w="818"/>
        <w:gridCol w:w="1106"/>
        <w:gridCol w:w="1237"/>
        <w:gridCol w:w="889"/>
      </w:tblGrid>
      <w:tr>
        <w:trPr>
          <w:jc w:val="center"/>
          <w:trHeight w:val="891"/>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序</w:t>
            </w:r>
            <w:r>
              <w:rPr>
                <w:rFonts w:hint="eastAsia" w:ascii="宋体" w:hAnsi="宋体" w:eastAsia="宋体" w:cs="宋体"/>
                <w:color w:val="auto"/>
                <w:spacing w:val="-1"/>
                <w:sz w:val="24"/>
                <w:szCs w:val="24"/>
                <w:highlight w:val="none"/>
              </w:rPr>
              <w:t xml:space="preserve">号</w:t>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岗</w:t>
            </w:r>
            <w:r>
              <w:rPr>
                <w:rFonts w:hint="eastAsia" w:ascii="宋体" w:hAnsi="宋体" w:eastAsia="宋体" w:cs="宋体"/>
                <w:color w:val="auto"/>
                <w:spacing w:val="-7"/>
                <w:sz w:val="24"/>
                <w:szCs w:val="24"/>
                <w:highlight w:val="none"/>
              </w:rPr>
              <w:t xml:space="preserve">位</w:t>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姓</w:t>
            </w:r>
            <w:r>
              <w:rPr>
                <w:rFonts w:hint="eastAsia" w:ascii="宋体" w:hAnsi="宋体" w:eastAsia="宋体" w:cs="宋体"/>
                <w:color w:val="auto"/>
                <w:spacing w:val="-1"/>
                <w:sz w:val="24"/>
                <w:szCs w:val="24"/>
                <w:highlight w:val="none"/>
              </w:rPr>
              <w:t xml:space="preserve">名</w:t>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性</w:t>
            </w:r>
            <w:r>
              <w:rPr>
                <w:rFonts w:hint="eastAsia" w:ascii="宋体" w:hAnsi="宋体" w:eastAsia="宋体" w:cs="宋体"/>
                <w:color w:val="auto"/>
                <w:spacing w:val="-1"/>
                <w:sz w:val="24"/>
                <w:szCs w:val="24"/>
                <w:highlight w:val="none"/>
              </w:rPr>
              <w:t xml:space="preserve">别</w:t>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年龄</w:t>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学</w:t>
            </w:r>
            <w:r>
              <w:rPr>
                <w:rFonts w:hint="eastAsia" w:ascii="宋体" w:hAnsi="宋体" w:eastAsia="宋体" w:cs="宋体"/>
                <w:color w:val="auto"/>
                <w:spacing w:val="-2"/>
                <w:sz w:val="24"/>
                <w:szCs w:val="24"/>
                <w:highlight w:val="none"/>
              </w:rPr>
              <w:t xml:space="preserve">历</w:t>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专业</w:t>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证</w:t>
            </w:r>
            <w:r>
              <w:rPr>
                <w:rFonts w:hint="eastAsia" w:ascii="宋体" w:hAnsi="宋体" w:eastAsia="宋体" w:cs="宋体"/>
                <w:color w:val="auto"/>
                <w:spacing w:val="-1"/>
                <w:sz w:val="24"/>
                <w:szCs w:val="24"/>
                <w:highlight w:val="none"/>
              </w:rPr>
              <w:t xml:space="preserve">书情况</w:t>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从事本</w:t>
            </w:r>
            <w:r>
              <w:rPr>
                <w:rFonts w:hint="eastAsia" w:ascii="宋体" w:hAnsi="宋体" w:eastAsia="宋体" w:cs="宋体"/>
                <w:color w:val="auto"/>
                <w:spacing w:val="-1"/>
                <w:sz w:val="24"/>
                <w:szCs w:val="24"/>
                <w:highlight w:val="none"/>
              </w:rPr>
              <w:t xml:space="preserve">工作</w:t>
            </w:r>
            <w:r>
              <w:rPr>
                <w:rFonts w:hint="eastAsia" w:ascii="宋体" w:hAnsi="宋体" w:eastAsia="宋体" w:cs="宋体"/>
                <w:color w:val="auto"/>
                <w:spacing w:val="-4"/>
                <w:sz w:val="24"/>
                <w:szCs w:val="24"/>
                <w:highlight w:val="none"/>
              </w:rPr>
              <w:t xml:space="preserve">时间</w:t>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备</w:t>
            </w:r>
            <w:r>
              <w:rPr>
                <w:rFonts w:hint="eastAsia" w:ascii="宋体" w:hAnsi="宋体" w:eastAsia="宋体" w:cs="宋体"/>
                <w:color w:val="auto"/>
                <w:spacing w:val="-2"/>
                <w:sz w:val="24"/>
                <w:szCs w:val="24"/>
                <w:highlight w:val="none"/>
              </w:rPr>
              <w:t xml:space="preserve">注</w:t>
            </w:r>
            <w:r/>
          </w:p>
        </w:tc>
      </w:tr>
      <w:tr>
        <w:trPr>
          <w:jc w:val="center"/>
          <w:trHeight w:val="428"/>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0"/>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3"/>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6"/>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5"/>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2"/>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3"/>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0"/>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6"/>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7"/>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6"/>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6"/>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2"/>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3"/>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04"/>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pacing w:val="84"/>
                <w:sz w:val="24"/>
                <w:szCs w:val="24"/>
                <w:highlight w:val="none"/>
              </w:rPr>
              <w:t xml:space="preserve">…</w:t>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26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pStyle w:val="824"/>
        <w:ind w:firstLine="480"/>
        <w:jc w:val="righ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szCs w:val="24"/>
          <w:highlight w:val="none"/>
        </w:rPr>
        <w:t xml:space="preserve">日期：  年  月  日</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rPr>
          <w:rFonts w:hint="eastAsia" w:ascii="宋体" w:hAnsi="宋体" w:eastAsia="宋体" w:cs="宋体"/>
          <w:b/>
          <w:color w:val="auto"/>
          <w:sz w:val="24"/>
          <w:highlight w:val="none"/>
        </w:rPr>
      </w:pPr>
      <w:r>
        <w:rPr>
          <w:rFonts w:hint="eastAsia" w:ascii="宋体" w:hAnsi="宋体" w:eastAsia="宋体" w:cs="宋体"/>
          <w:color w:val="auto"/>
          <w:szCs w:val="21"/>
          <w:highlight w:val="none"/>
          <w:lang w:val="zh-CN"/>
        </w:rPr>
        <w:br w:type="page" w:clear="all"/>
      </w:r>
      <w:r>
        <w:rPr>
          <w:rFonts w:hint="eastAsia" w:ascii="宋体" w:hAnsi="宋体" w:eastAsia="宋体" w:cs="宋体"/>
          <w:b/>
          <w:color w:val="auto"/>
          <w:sz w:val="24"/>
          <w:highlight w:val="none"/>
          <w:lang w:val="en-US" w:eastAsia="zh-CN"/>
        </w:rPr>
        <w:t xml:space="preserve">11</w:t>
      </w:r>
      <w:r>
        <w:rPr>
          <w:rFonts w:hint="eastAsia" w:ascii="宋体" w:hAnsi="宋体" w:eastAsia="宋体" w:cs="宋体"/>
          <w:b/>
          <w:color w:val="auto"/>
          <w:sz w:val="24"/>
          <w:highlight w:val="none"/>
        </w:rPr>
        <w:t xml:space="preserve">、针对本项目的服务方案</w:t>
      </w:r>
      <w:r/>
    </w:p>
    <w:p>
      <w:pPr>
        <w:jc w:val="center"/>
        <w:spacing w:before="25" w:after="25"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center"/>
        <w:spacing w:before="25" w:after="25"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针对本项目的服务方案</w:t>
      </w:r>
      <w:r/>
    </w:p>
    <w:tbl>
      <w:tblPr>
        <w:tblStyle w:val="681"/>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648"/>
      </w:tblGrid>
      <w:tr>
        <w:trPr>
          <w:trHeight w:val="1076"/>
        </w:trPr>
        <w:tc>
          <w:tcPr>
            <w:tcBorders>
              <w:top w:val="single" w:color="auto" w:sz="4" w:space="0"/>
              <w:left w:val="single" w:color="auto" w:sz="4" w:space="0"/>
              <w:bottom w:val="single" w:color="auto" w:sz="4" w:space="0"/>
              <w:right w:val="single" w:color="auto" w:sz="4" w:space="0"/>
            </w:tcBorders>
            <w:tcW w:w="9648" w:type="dxa"/>
            <w:textDirection w:val="lrTb"/>
            <w:noWrap w:val="false"/>
          </w:tcPr>
          <w:p>
            <w:pPr>
              <w:pStyle w:val="684"/>
              <w:ind w:firstLine="0"/>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提示：</w:t>
            </w:r>
            <w:r>
              <w:rPr>
                <w:rFonts w:hint="eastAsia" w:ascii="宋体" w:hAnsi="宋体" w:eastAsia="宋体" w:cs="宋体"/>
                <w:color w:val="auto"/>
                <w:sz w:val="24"/>
                <w:szCs w:val="24"/>
                <w:highlight w:val="none"/>
              </w:rPr>
              <w:t xml:space="preserve">供应商应根据本次项目要求，对所响应的服务</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进行详细的说明与描述。</w:t>
            </w:r>
            <w:r/>
          </w:p>
        </w:tc>
      </w:tr>
      <w:tr>
        <w:trPr>
          <w:trHeight w:val="9418"/>
        </w:trPr>
        <w:tc>
          <w:tcPr>
            <w:tcBorders>
              <w:top w:val="single" w:color="auto" w:sz="4" w:space="0"/>
              <w:left w:val="single" w:color="auto" w:sz="4" w:space="0"/>
              <w:bottom w:val="single" w:color="auto" w:sz="4" w:space="0"/>
              <w:right w:val="single" w:color="auto" w:sz="4" w:space="0"/>
            </w:tcBorders>
            <w:tcW w:w="9648" w:type="dxa"/>
            <w:vAlign w:val="bottom"/>
            <w:textDirection w:val="lrTb"/>
            <w:noWrap w:val="false"/>
          </w:tcPr>
          <w:p>
            <w:pPr>
              <w:ind w:firstLine="210"/>
              <w:jc w:val="center"/>
              <w:tabs>
                <w:tab w:val="left" w:pos="1320" w:leader="none"/>
              </w:tabs>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bl>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pStyle w:val="824"/>
        <w:ind w:firstLine="480"/>
        <w:jc w:val="righ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szCs w:val="24"/>
          <w:highlight w:val="none"/>
        </w:rPr>
        <w:t xml:space="preserve">日期：  年  月  日</w:t>
      </w:r>
      <w:r/>
    </w:p>
    <w:p>
      <w:pPr>
        <w:jc w:val="left"/>
        <w:rPr>
          <w:rFonts w:hint="eastAsia" w:ascii="宋体" w:hAnsi="宋体" w:eastAsia="宋体" w:cs="宋体"/>
          <w:b/>
          <w:color w:val="auto"/>
          <w:sz w:val="24"/>
          <w:highlight w:val="none"/>
        </w:rPr>
      </w:pPr>
      <w:r>
        <w:rPr>
          <w:rFonts w:hint="eastAsia" w:ascii="宋体" w:hAnsi="宋体" w:eastAsia="宋体" w:cs="宋体"/>
          <w:color w:val="auto"/>
          <w:szCs w:val="21"/>
          <w:highlight w:val="none"/>
          <w:lang w:val="zh-CN"/>
        </w:rPr>
        <w:br w:type="page" w:clear="all"/>
      </w:r>
      <w:r>
        <w:rPr>
          <w:rFonts w:hint="eastAsia" w:ascii="宋体" w:hAnsi="宋体" w:eastAsia="宋体" w:cs="宋体"/>
          <w:b/>
          <w:color w:val="auto"/>
          <w:sz w:val="24"/>
          <w:highlight w:val="none"/>
          <w:lang w:val="en-US" w:eastAsia="zh-CN"/>
        </w:rPr>
        <w:t xml:space="preserve">12</w:t>
      </w:r>
      <w:r>
        <w:rPr>
          <w:rFonts w:hint="eastAsia" w:ascii="宋体" w:hAnsi="宋体" w:eastAsia="宋体" w:cs="宋体"/>
          <w:b/>
          <w:color w:val="auto"/>
          <w:sz w:val="24"/>
          <w:highlight w:val="none"/>
        </w:rPr>
        <w:t xml:space="preserve">、拟投入本项目专业设备清单</w:t>
      </w:r>
      <w:r/>
    </w:p>
    <w:p>
      <w:pPr>
        <w:ind w:firstLine="422"/>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firstLine="48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拟投入本项目专业设备清单</w:t>
      </w:r>
      <w:r/>
    </w:p>
    <w:p>
      <w:pPr>
        <w:ind w:firstLine="40"/>
        <w:spacing w:line="360" w:lineRule="auto"/>
        <w:rPr>
          <w:rFonts w:hint="eastAsia" w:ascii="宋体" w:hAnsi="宋体" w:eastAsia="宋体" w:cs="宋体"/>
          <w:color w:val="auto"/>
          <w:sz w:val="2"/>
          <w:highlight w:val="none"/>
        </w:rPr>
      </w:pPr>
      <w:r>
        <w:rPr>
          <w:rFonts w:hint="eastAsia" w:ascii="宋体" w:hAnsi="宋体" w:eastAsia="宋体" w:cs="宋体"/>
          <w:color w:val="auto"/>
          <w:sz w:val="2"/>
          <w:highlight w:val="none"/>
        </w:rPr>
      </w:r>
      <w:r/>
    </w:p>
    <w:tbl>
      <w:tblPr>
        <w:tblStyle w:val="681"/>
        <w:tblW w:w="1009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40"/>
        <w:gridCol w:w="1066"/>
        <w:gridCol w:w="2234"/>
        <w:gridCol w:w="1966"/>
        <w:gridCol w:w="1144"/>
        <w:gridCol w:w="1205"/>
        <w:gridCol w:w="818"/>
        <w:gridCol w:w="823"/>
      </w:tblGrid>
      <w:tr>
        <w:trPr>
          <w:jc w:val="center"/>
          <w:trHeight w:val="644"/>
        </w:trPr>
        <w:tc>
          <w:tcPr>
            <w:tcW w:w="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06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2234"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品牌规格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eastAsia="zh-CN"/>
              </w:rPr>
              <w:t xml:space="preserve">）</w:t>
            </w:r>
            <w:r/>
          </w:p>
        </w:tc>
        <w:tc>
          <w:tcPr>
            <w:tcW w:w="1966"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生产厂家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eastAsia="zh-CN"/>
              </w:rPr>
              <w:t xml:space="preserve">）</w:t>
            </w:r>
            <w:r/>
          </w:p>
        </w:tc>
        <w:tc>
          <w:tcPr>
            <w:tcW w:w="114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12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p>
        </w:tc>
        <w:tc>
          <w:tcPr>
            <w:tcW w:w="8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82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443"/>
        </w:trPr>
        <w:tc>
          <w:tcPr>
            <w:tcW w:w="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06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3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4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81"/>
        </w:trPr>
        <w:tc>
          <w:tcPr>
            <w:tcW w:w="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06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3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4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05"/>
        </w:trPr>
        <w:tc>
          <w:tcPr>
            <w:tcW w:w="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06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3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4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62"/>
        </w:trPr>
        <w:tc>
          <w:tcPr>
            <w:tcW w:w="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06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3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4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02"/>
        </w:trPr>
        <w:tc>
          <w:tcPr>
            <w:tcW w:w="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06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3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4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70"/>
        </w:trPr>
        <w:tc>
          <w:tcPr>
            <w:tcW w:w="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06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3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4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pStyle w:val="824"/>
        <w:ind w:firstLine="480"/>
        <w:jc w:val="righ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rPr>
        <w:br w:type="page" w:clear="all"/>
      </w: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rPr>
        <w:t xml:space="preserve">类似</w:t>
      </w:r>
      <w:r>
        <w:rPr>
          <w:rFonts w:hint="eastAsia" w:ascii="宋体" w:hAnsi="宋体" w:eastAsia="宋体" w:cs="宋体"/>
          <w:b/>
          <w:color w:val="auto"/>
          <w:spacing w:val="-1"/>
          <w:sz w:val="24"/>
          <w:szCs w:val="24"/>
          <w:highlight w:val="none"/>
        </w:rPr>
        <w:t xml:space="preserve">业绩一览表</w:t>
      </w:r>
      <w:r/>
    </w:p>
    <w:p>
      <w:pPr>
        <w:spacing w:line="360" w:lineRule="auto"/>
        <w:tabs>
          <w:tab w:val="left" w:pos="8930" w:leader="none"/>
          <w:tab w:val="left" w:pos="930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pacing w:val="-1"/>
          <w:sz w:val="24"/>
          <w:szCs w:val="24"/>
          <w:highlight w:val="none"/>
        </w:rPr>
        <w:t xml:space="preserve">类似业绩一览表</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bl>
      <w:tblPr>
        <w:tblStyle w:val="681"/>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84"/>
        <w:gridCol w:w="1676"/>
        <w:gridCol w:w="2188"/>
        <w:gridCol w:w="1676"/>
        <w:gridCol w:w="1257"/>
        <w:gridCol w:w="1275"/>
      </w:tblGrid>
      <w:tr>
        <w:trPr>
          <w:cantSplit/>
          <w:jc w:val="center"/>
          <w:trHeight w:val="800"/>
        </w:trPr>
        <w:tc>
          <w:tcPr>
            <w:tcW w:w="584"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676"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2188"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合同金额</w:t>
            </w:r>
            <w:r/>
          </w:p>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c>
          <w:tcPr>
            <w:tcW w:w="1676"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w:t>
            </w:r>
            <w:r/>
          </w:p>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开始日期</w:t>
            </w:r>
            <w:r/>
          </w:p>
        </w:tc>
        <w:tc>
          <w:tcPr>
            <w:tcW w:w="1257"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w:t>
            </w:r>
            <w:r/>
          </w:p>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结束日期</w:t>
            </w:r>
            <w:r/>
          </w:p>
        </w:tc>
        <w:tc>
          <w:tcPr>
            <w:tcW w:w="1275"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jc w:val="center"/>
          <w:trHeight w:val="820" w:hRule="exact"/>
        </w:trPr>
        <w:tc>
          <w:tcPr>
            <w:tcW w:w="584"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676"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88"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6"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57"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820" w:hRule="exact"/>
        </w:trPr>
        <w:tc>
          <w:tcPr>
            <w:tcW w:w="584"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676"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88"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6"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57"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820" w:hRule="exact"/>
        </w:trPr>
        <w:tc>
          <w:tcPr>
            <w:tcW w:w="584"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676"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88"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6"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57"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820" w:hRule="exact"/>
        </w:trPr>
        <w:tc>
          <w:tcPr>
            <w:tcW w:w="584"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676"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88"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6"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57"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836" w:hRule="exact"/>
        </w:trPr>
        <w:tc>
          <w:tcPr>
            <w:tcW w:w="584"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676"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88"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6"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57"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注：具体要求详见评分标准。</w:t>
      </w:r>
      <w:r/>
    </w:p>
    <w:p>
      <w:pPr>
        <w:ind w:right="105"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Style w:val="81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8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8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br w:type="page" w:clear="all"/>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、中小企业声明函</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tabs>
          <w:tab w:val="left" w:pos="8930" w:leader="none"/>
          <w:tab w:val="left" w:pos="930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中小企业声明函（工程、服务）</w:t>
      </w:r>
      <w:r/>
    </w:p>
    <w:p>
      <w:pPr>
        <w:ind w:firstLine="420"/>
        <w:jc w:val="left"/>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（单位名称）的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 </w:t>
      </w:r>
      <w:r/>
    </w:p>
    <w:p>
      <w:pPr>
        <w:numPr>
          <w:ilvl w:val="0"/>
          <w:numId w:val="1"/>
        </w:numPr>
        <w:ind w:firstLine="420"/>
        <w:jc w:val="left"/>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建筑业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（采购文件中明确的所属行业）；承建（承接）企业为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（中型企业、小型企业、微型企业）； </w:t>
      </w:r>
      <w:r/>
    </w:p>
    <w:p>
      <w:pPr>
        <w:numPr>
          <w:ilvl w:val="0"/>
          <w:numId w:val="1"/>
        </w:numPr>
        <w:ind w:firstLine="420"/>
        <w:jc w:val="left"/>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（采购文件中明确的所属行业）；承建（承接）企业为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（中型企业、 小型企业、微型企业）；</w:t>
      </w:r>
      <w:r/>
    </w:p>
    <w:p>
      <w:pPr>
        <w:jc w:val="left"/>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 </w:t>
      </w:r>
      <w:r/>
    </w:p>
    <w:p>
      <w:pPr>
        <w:ind w:firstLine="420"/>
        <w:jc w:val="left"/>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20"/>
        <w:jc w:val="left"/>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 </w:t>
      </w:r>
      <w:r/>
    </w:p>
    <w:p>
      <w:pPr>
        <w:ind w:firstLine="420"/>
        <w:jc w:val="left"/>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70"/>
        <w:jc w:val="left"/>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p>
    <w:p>
      <w:pPr>
        <w:ind w:firstLine="5670"/>
        <w:jc w:val="left"/>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pStyle w:val="692"/>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p>
      <w:pPr>
        <w:pStyle w:val="692"/>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1、从业人员、营业收入、资产总额填报上一年度数据，无上一年度数据的新成立企业可不填报。</w:t>
      </w:r>
      <w:r/>
    </w:p>
    <w:p>
      <w:pPr>
        <w:pStyle w:val="692"/>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2、在服务采购项目中，服务由中小企业承接，即提供服务的人员为中小企业依照《中华人民共和国劳动合同法》订立劳动合同的从业人员。</w:t>
      </w:r>
      <w:r/>
    </w:p>
    <w:p>
      <w:pPr>
        <w:pStyle w:val="692"/>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3、《中小企业声明函》中所填的行业应与本采购标的对应的中小企业划分标准所属行业一致，不一致的不可享受相应政策优惠。本采购标的对应的中小企业划分标准所属行业，以采购文件规定为准。</w:t>
      </w:r>
      <w:r/>
    </w:p>
    <w:p>
      <w:pPr>
        <w:pStyle w:val="692"/>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4、如未对（中型企业、小型企业、微型企业）进行勾选，视同非小微企业，不可享受相应扶持政策。</w:t>
      </w:r>
      <w:r/>
    </w:p>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若供应商提供的“中小企业声明函”内容不实的，属于提供虚假材料谋取中标、成交，依照《中华人民共和国政府采购法》等国家有关规定追究相应责任。</w:t>
      </w:r>
      <w:r/>
    </w:p>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bookmarkStart w:id="48" w:name="_Hlk72923453"/>
      <w:r>
        <w:rPr>
          <w:rFonts w:hint="eastAsia" w:ascii="宋体" w:hAnsi="宋体" w:eastAsia="宋体" w:cs="宋体"/>
          <w:color w:val="auto"/>
          <w:szCs w:val="21"/>
          <w:highlight w:val="none"/>
          <w:lang w:val="zh-CN"/>
        </w:rPr>
        <w:t xml:space="preserve">符合中小企业划分标准的个体工商户，在政府采购活动中视同中小企业</w:t>
      </w:r>
      <w:bookmarkEnd w:id="48"/>
      <w:r>
        <w:rPr>
          <w:rFonts w:hint="eastAsia" w:ascii="宋体" w:hAnsi="宋体" w:eastAsia="宋体" w:cs="宋体"/>
          <w:color w:val="auto"/>
          <w:szCs w:val="21"/>
          <w:highlight w:val="none"/>
          <w:lang w:val="zh-CN"/>
        </w:rPr>
        <w:t xml:space="preserve">。</w:t>
      </w:r>
      <w:r/>
    </w:p>
    <w:p>
      <w:pPr>
        <w:pStyle w:val="692"/>
        <w:ind w:firstLine="420"/>
        <w:rPr>
          <w:rFonts w:hint="eastAsia" w:ascii="宋体" w:hAnsi="宋体" w:eastAsia="宋体" w:cs="宋体"/>
          <w:color w:val="auto"/>
          <w:szCs w:val="21"/>
          <w:highlight w:val="none"/>
          <w:lang w:val="zh-CN"/>
        </w:rPr>
      </w:pPr>
      <w:r/>
      <w:bookmarkStart w:id="49" w:name="_Hlk94450593"/>
      <w:r>
        <w:rPr>
          <w:rFonts w:hint="eastAsia" w:ascii="宋体" w:hAnsi="宋体" w:eastAsia="宋体" w:cs="宋体"/>
          <w:color w:val="auto"/>
          <w:szCs w:val="21"/>
          <w:highlight w:val="none"/>
        </w:rPr>
        <w:t xml:space="preserve">7、响应</w:t>
      </w:r>
      <w:r>
        <w:rPr>
          <w:rFonts w:hint="eastAsia" w:ascii="宋体" w:hAnsi="宋体" w:eastAsia="宋体" w:cs="宋体"/>
          <w:color w:val="auto"/>
          <w:szCs w:val="21"/>
          <w:highlight w:val="none"/>
          <w:lang w:val="zh-CN"/>
        </w:rPr>
        <w:t xml:space="preserve">文件中的电子签章视为供应商对本声明进行了签署盖章并承担相应责任</w:t>
      </w:r>
      <w:bookmarkEnd w:id="49"/>
      <w:r>
        <w:rPr>
          <w:rFonts w:hint="eastAsia" w:ascii="宋体" w:hAnsi="宋体" w:eastAsia="宋体" w:cs="宋体"/>
          <w:color w:val="auto"/>
          <w:szCs w:val="21"/>
          <w:highlight w:val="none"/>
          <w:lang w:val="zh-CN"/>
        </w:rPr>
        <w:t xml:space="preserve">。</w:t>
      </w:r>
      <w:r/>
    </w:p>
    <w:p>
      <w:pPr>
        <w:pStyle w:val="692"/>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8、成交单位为中小企业的，《中小企业声明函》将随成交结果同时公告。</w:t>
      </w:r>
      <w:r/>
    </w:p>
    <w:p>
      <w:pPr>
        <w:pStyle w:val="865"/>
        <w:ind w:left="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24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附：中小企业划型标准规定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（一）农、林、牧、渔业。</w:t>
      </w:r>
      <w:r>
        <w:rPr>
          <w:rFonts w:hint="eastAsia" w:ascii="宋体" w:hAnsi="宋体" w:eastAsia="宋体" w:cs="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（二）工业。</w:t>
      </w:r>
      <w:r>
        <w:rPr>
          <w:rFonts w:hint="eastAsia" w:ascii="宋体" w:hAnsi="宋体" w:eastAsia="宋体" w:cs="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（三）建筑业。</w:t>
      </w:r>
      <w:r>
        <w:rPr>
          <w:rFonts w:hint="eastAsia" w:ascii="宋体" w:hAnsi="宋体" w:eastAsia="宋体" w:cs="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（四）批发业。</w:t>
      </w:r>
      <w:r>
        <w:rPr>
          <w:rFonts w:hint="eastAsia" w:ascii="宋体" w:hAnsi="宋体" w:eastAsia="宋体" w:cs="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（五）零售业。</w:t>
      </w:r>
      <w:r>
        <w:rPr>
          <w:rFonts w:hint="eastAsia" w:ascii="宋体" w:hAnsi="宋体" w:eastAsia="宋体" w:cs="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（六）交通运输业。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（七）仓储业。</w:t>
      </w:r>
      <w:r>
        <w:rPr>
          <w:rFonts w:hint="eastAsia" w:ascii="宋体" w:hAnsi="宋体" w:eastAsia="宋体" w:cs="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（八）邮政业。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（九）住宿业。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（十）餐饮业。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（十一）信息传输业。</w:t>
      </w:r>
      <w:r>
        <w:rPr>
          <w:rFonts w:hint="eastAsia" w:ascii="宋体" w:hAnsi="宋体" w:eastAsia="宋体" w:cs="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（十二）软件和信息技术服务业。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（十三）房地产开发经营。</w:t>
      </w:r>
      <w:r>
        <w:rPr>
          <w:rFonts w:hint="eastAsia" w:ascii="宋体" w:hAnsi="宋体" w:eastAsia="宋体" w:cs="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（十四）物业管理。</w:t>
      </w:r>
      <w:r>
        <w:rPr>
          <w:rFonts w:hint="eastAsia" w:ascii="宋体" w:hAnsi="宋体" w:eastAsia="宋体" w:cs="宋体"/>
          <w:color w:val="auto"/>
          <w:sz w:val="24"/>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（十五）租赁和商务服务业。</w:t>
      </w:r>
      <w:r>
        <w:rPr>
          <w:rFonts w:hint="eastAsia" w:ascii="宋体" w:hAnsi="宋体" w:eastAsia="宋体" w:cs="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（十六）其他未列明行业。</w:t>
      </w:r>
      <w:r>
        <w:rPr>
          <w:rFonts w:hint="eastAsia" w:ascii="宋体" w:hAnsi="宋体" w:eastAsia="宋体" w:cs="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br w:type="page" w:clear="all"/>
      </w: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、残疾人福利性单位声明函</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残疾人福利性单位声明函</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       】单位的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单位名称（盖章）：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Cs w:val="21"/>
          <w:highlight w:val="none"/>
        </w:rPr>
        <w:br w:type="page" w:clear="all"/>
      </w:r>
      <w:r>
        <w:rPr>
          <w:rFonts w:hint="eastAsia" w:ascii="宋体" w:hAnsi="宋体" w:eastAsia="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、投标（响应）保证承诺书</w:t>
      </w:r>
      <w:r/>
    </w:p>
    <w:p>
      <w:pPr>
        <w:jc w:val="center"/>
        <w:spacing w:line="360" w:lineRule="auto"/>
        <w:tabs>
          <w:tab w:val="left" w:pos="8930" w:leader="none"/>
          <w:tab w:val="left" w:pos="930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投标（响应）保证承诺书</w:t>
      </w:r>
      <w:r/>
    </w:p>
    <w:p>
      <w:pPr>
        <w:jc w:val="left"/>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致：涵熙（苏州）工程顾问有限公司</w:t>
      </w:r>
      <w:r/>
    </w:p>
    <w:p>
      <w:pPr>
        <w:ind w:firstLine="420"/>
        <w:jc w:val="left"/>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我（单位/本人，以下统称我单位）自愿参加</w:t>
      </w:r>
      <w:r>
        <w:rPr>
          <w:rFonts w:hint="eastAsia" w:ascii="宋体" w:hAnsi="宋体" w:eastAsia="宋体" w:cs="宋体"/>
          <w:color w:val="auto"/>
          <w:sz w:val="24"/>
          <w:szCs w:val="24"/>
          <w:highlight w:val="none"/>
          <w:u w:val="single"/>
        </w:rPr>
        <w:t xml:space="preserve">（项目名称和采购编号）</w:t>
      </w:r>
      <w:r>
        <w:rPr>
          <w:rFonts w:hint="eastAsia" w:ascii="宋体" w:hAnsi="宋体" w:eastAsia="宋体" w:cs="宋体"/>
          <w:color w:val="auto"/>
          <w:sz w:val="24"/>
          <w:szCs w:val="24"/>
          <w:highlight w:val="none"/>
        </w:rPr>
        <w:t xml:space="preserve">的投标（响应），并做出如下承诺：</w:t>
      </w:r>
      <w:r/>
    </w:p>
    <w:p>
      <w:pPr>
        <w:ind w:firstLine="420"/>
        <w:jc w:val="left"/>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一、除不可抗力外，我单位如果发生以下行为，将在行为发生的10个工作日内，向贵方</w:t>
      </w:r>
      <w:r>
        <w:rPr>
          <w:rFonts w:hint="eastAsia" w:ascii="宋体" w:hAnsi="宋体" w:eastAsia="宋体" w:cs="宋体"/>
          <w:color w:val="auto"/>
          <w:sz w:val="24"/>
          <w:szCs w:val="24"/>
          <w:highlight w:val="none"/>
          <w:u w:val="single"/>
        </w:rPr>
        <w:t xml:space="preserve">（或采购人）</w:t>
      </w:r>
      <w:r>
        <w:rPr>
          <w:rFonts w:hint="eastAsia" w:ascii="宋体" w:hAnsi="宋体" w:eastAsia="宋体" w:cs="宋体"/>
          <w:color w:val="auto"/>
          <w:sz w:val="24"/>
          <w:szCs w:val="24"/>
          <w:highlight w:val="none"/>
        </w:rPr>
        <w:t xml:space="preserve">支付本采购文件公布的预算金额（或最高限价）的2%作为违约赔偿金（数量不确定的单价采购须约定具体金额）。</w:t>
      </w:r>
      <w:r/>
    </w:p>
    <w:p>
      <w:pPr>
        <w:ind w:firstLine="420"/>
        <w:jc w:val="left"/>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1、自投标（响应）截止时间至本项目发布中标（成交）公告为止，撤销投标（响应）；</w:t>
      </w:r>
      <w:r/>
    </w:p>
    <w:p>
      <w:pPr>
        <w:ind w:firstLine="420"/>
        <w:jc w:val="left"/>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2、中标（成交）后不依法与采购人签订合同；</w:t>
      </w:r>
      <w:r/>
    </w:p>
    <w:p>
      <w:pPr>
        <w:ind w:firstLine="420"/>
        <w:jc w:val="left"/>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3、中标（成交）后不按本采购文件规定向贵方缴纳采购代理费。</w:t>
      </w:r>
      <w:r/>
    </w:p>
    <w:p>
      <w:pPr>
        <w:ind w:firstLine="420"/>
        <w:jc w:val="left"/>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二、我单位知晓上述行为的法律后果，承认本承诺书作为贵方</w:t>
      </w:r>
      <w:r>
        <w:rPr>
          <w:rFonts w:hint="eastAsia" w:ascii="宋体" w:hAnsi="宋体" w:eastAsia="宋体" w:cs="宋体"/>
          <w:color w:val="auto"/>
          <w:sz w:val="24"/>
          <w:szCs w:val="24"/>
          <w:highlight w:val="none"/>
          <w:u w:val="single"/>
        </w:rPr>
        <w:t xml:space="preserve">（或采购人）</w:t>
      </w:r>
      <w:r>
        <w:rPr>
          <w:rFonts w:hint="eastAsia" w:ascii="宋体" w:hAnsi="宋体" w:eastAsia="宋体" w:cs="宋体"/>
          <w:color w:val="auto"/>
          <w:sz w:val="24"/>
          <w:szCs w:val="24"/>
          <w:highlight w:val="none"/>
        </w:rPr>
        <w:t xml:space="preserve">要求我单位履行违约赔偿义务的依据作用。</w:t>
      </w:r>
      <w:r/>
    </w:p>
    <w:p>
      <w:pPr>
        <w:ind w:firstLine="420"/>
        <w:jc w:val="left"/>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电子邮件：</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 w:val="24"/>
          <w:szCs w:val="24"/>
          <w:highlight w:val="none"/>
        </w:rPr>
        <w:t xml:space="preserve">日期：</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right"/>
        <w:rPr>
          <w:rFonts w:hint="eastAsia" w:ascii="宋体" w:hAnsi="宋体" w:eastAsia="宋体" w:cs="宋体"/>
          <w:color w:val="auto"/>
          <w:sz w:val="24"/>
          <w:szCs w:val="24"/>
          <w:highlight w:val="none"/>
        </w:rPr>
      </w:pPr>
      <w:r>
        <w:rPr>
          <w:rStyle w:val="810"/>
          <w:rFonts w:hint="eastAsia" w:ascii="宋体" w:hAnsi="宋体" w:eastAsia="宋体" w:cs="宋体"/>
          <w:color w:val="auto"/>
          <w:sz w:val="48"/>
          <w:szCs w:val="48"/>
          <w:highlight w:val="none"/>
        </w:rPr>
        <w:br w:type="page" w:clear="all"/>
      </w:r>
      <w:r/>
    </w:p>
    <w:p>
      <w:pPr>
        <w:jc w:val="center"/>
        <w:rPr>
          <w:rStyle w:val="810"/>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jc w:val="center"/>
        <w:rPr>
          <w:rStyle w:val="810"/>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jc w:val="center"/>
        <w:rPr>
          <w:rStyle w:val="810"/>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jc w:val="center"/>
        <w:rPr>
          <w:rStyle w:val="810"/>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jc w:val="center"/>
        <w:rPr>
          <w:rStyle w:val="810"/>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jc w:val="center"/>
        <w:rPr>
          <w:rStyle w:val="810"/>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 xml:space="preserve">第四章 采购内容</w:t>
      </w:r>
      <w:r/>
    </w:p>
    <w:p>
      <w:pPr>
        <w:jc w:val="center"/>
        <w:spacing w:line="360" w:lineRule="auto"/>
        <w:rPr>
          <w:rStyle w:val="810"/>
          <w:rFonts w:hint="eastAsia" w:ascii="宋体" w:hAnsi="宋体" w:eastAsia="宋体" w:cs="宋体"/>
          <w:b/>
          <w:bCs/>
          <w:color w:val="auto"/>
          <w:sz w:val="32"/>
          <w:szCs w:val="32"/>
          <w:highlight w:val="none"/>
        </w:rPr>
      </w:pPr>
      <w:r>
        <w:rPr>
          <w:rStyle w:val="810"/>
          <w:rFonts w:hint="eastAsia" w:ascii="宋体" w:hAnsi="宋体" w:eastAsia="宋体" w:cs="宋体"/>
          <w:color w:val="auto"/>
          <w:sz w:val="48"/>
          <w:szCs w:val="48"/>
          <w:highlight w:val="none"/>
        </w:rPr>
        <w:br w:type="page" w:clear="all"/>
      </w:r>
      <w:r>
        <w:rPr>
          <w:rStyle w:val="810"/>
          <w:rFonts w:hint="eastAsia" w:ascii="宋体" w:hAnsi="宋体" w:eastAsia="宋体" w:cs="宋体"/>
          <w:b/>
          <w:bCs/>
          <w:color w:val="auto"/>
          <w:sz w:val="32"/>
          <w:szCs w:val="32"/>
          <w:highlight w:val="none"/>
        </w:rPr>
        <w:t xml:space="preserve">采购内容</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涵熙（苏州）工程顾问有限公司受</w:t>
      </w:r>
      <w:r>
        <w:rPr>
          <w:rFonts w:hint="eastAsia" w:ascii="宋体" w:hAnsi="宋体" w:cs="宋体"/>
          <w:color w:val="auto"/>
          <w:sz w:val="24"/>
          <w:szCs w:val="24"/>
          <w:highlight w:val="none"/>
          <w:lang w:eastAsia="zh-CN"/>
        </w:rPr>
        <w:t xml:space="preserve">苏州国家高新技术产业开发区镇湖街道办事处</w:t>
      </w:r>
      <w:r>
        <w:rPr>
          <w:rFonts w:hint="eastAsia" w:ascii="宋体" w:hAnsi="宋体" w:eastAsia="宋体" w:cs="宋体"/>
          <w:color w:val="auto"/>
          <w:sz w:val="24"/>
          <w:szCs w:val="24"/>
          <w:highlight w:val="none"/>
        </w:rPr>
        <w:t xml:space="preserve">的委托，就其所需的</w:t>
      </w:r>
      <w:r>
        <w:rPr>
          <w:rFonts w:hint="eastAsia" w:ascii="宋体" w:hAnsi="宋体" w:cs="宋体"/>
          <w:color w:val="auto"/>
          <w:sz w:val="24"/>
          <w:szCs w:val="24"/>
          <w:highlight w:val="none"/>
          <w:lang w:eastAsia="zh-CN"/>
        </w:rPr>
        <w:t xml:space="preserve">镇湖安置房1-5期泛光照明维修工程</w:t>
      </w:r>
      <w:r>
        <w:rPr>
          <w:rFonts w:hint="eastAsia" w:ascii="宋体" w:hAnsi="宋体" w:eastAsia="宋体" w:cs="宋体"/>
          <w:color w:val="auto"/>
          <w:sz w:val="24"/>
          <w:szCs w:val="24"/>
          <w:highlight w:val="none"/>
        </w:rPr>
        <w:t xml:space="preserve">采用竞争性磋商方式进行采购，欢迎有资格的供应商前来参加本次磋商采购活动。</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一、采购需求：</w:t>
      </w:r>
      <w:r/>
    </w:p>
    <w:p>
      <w:pPr>
        <w:ind w:firstLine="482"/>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（一）采购内容：</w:t>
      </w:r>
      <w:r/>
    </w:p>
    <w:p>
      <w:pPr>
        <w:ind w:firstLine="480"/>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本工程为</w:t>
      </w:r>
      <w:r>
        <w:rPr>
          <w:rFonts w:hint="eastAsia" w:ascii="宋体" w:hAnsi="宋体" w:cs="宋体"/>
          <w:color w:val="auto"/>
          <w:sz w:val="24"/>
          <w:highlight w:val="none"/>
          <w:lang w:eastAsia="zh-CN"/>
        </w:rPr>
        <w:t xml:space="preserve">苏州国家高新技术产业开发区镇湖街道办事处</w:t>
      </w:r>
      <w:r>
        <w:rPr>
          <w:rFonts w:hint="eastAsia" w:ascii="宋体" w:hAnsi="宋体" w:eastAsia="宋体" w:cs="宋体"/>
          <w:color w:val="auto"/>
          <w:sz w:val="24"/>
          <w:highlight w:val="none"/>
        </w:rPr>
        <w:t xml:space="preserve">的</w:t>
      </w:r>
      <w:r>
        <w:rPr>
          <w:rFonts w:hint="eastAsia" w:ascii="宋体" w:hAnsi="宋体" w:cs="宋体"/>
          <w:color w:val="auto"/>
          <w:sz w:val="24"/>
          <w:highlight w:val="none"/>
          <w:lang w:eastAsia="zh-CN"/>
        </w:rPr>
        <w:t xml:space="preserve">镇湖安置房1-5期泛光照明维修工程</w:t>
      </w:r>
      <w:r>
        <w:rPr>
          <w:rFonts w:hint="eastAsia" w:ascii="宋体" w:hAnsi="宋体" w:eastAsia="宋体" w:cs="宋体"/>
          <w:color w:val="auto"/>
          <w:sz w:val="24"/>
          <w:highlight w:val="none"/>
        </w:rPr>
        <w:t xml:space="preserve">。</w:t>
      </w:r>
      <w:r/>
    </w:p>
    <w:p>
      <w:pPr>
        <w:ind w:firstLine="482"/>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（二）项目要求：</w:t>
      </w:r>
      <w:r/>
    </w:p>
    <w:p>
      <w:pPr>
        <w:ind w:firstLine="480"/>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1、为保障项目正常运行，本项目</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rPr>
        <w:t xml:space="preserve">配备项目负责人1名</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专职安全员1名</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持有</w:t>
      </w:r>
      <w:r>
        <w:rPr>
          <w:rFonts w:hint="eastAsia" w:ascii="宋体" w:hAnsi="宋体" w:eastAsia="宋体" w:cs="宋体"/>
          <w:b w:val="0"/>
          <w:bCs w:val="0"/>
          <w:color w:val="auto"/>
          <w:sz w:val="24"/>
          <w:szCs w:val="24"/>
          <w:highlight w:val="none"/>
          <w:lang w:val="en-US" w:eastAsia="zh-CN" w:bidi="ar-SA"/>
        </w:rPr>
        <w:t xml:space="preserve">低压或高压电工特种作业操作证</w:t>
      </w:r>
      <w:r>
        <w:rPr>
          <w:rFonts w:hint="eastAsia" w:ascii="宋体" w:hAnsi="宋体" w:cs="宋体"/>
          <w:b w:val="0"/>
          <w:bCs w:val="0"/>
          <w:color w:val="auto"/>
          <w:sz w:val="24"/>
          <w:szCs w:val="24"/>
          <w:highlight w:val="none"/>
          <w:lang w:val="en-US" w:eastAsia="zh-CN" w:bidi="ar-SA"/>
        </w:rPr>
        <w:t xml:space="preserve">的不少于3名；</w:t>
      </w:r>
      <w:r>
        <w:rPr>
          <w:rFonts w:hint="eastAsia" w:ascii="宋体" w:hAnsi="宋体" w:cs="宋体"/>
          <w:color w:val="auto"/>
          <w:sz w:val="24"/>
          <w:szCs w:val="24"/>
          <w:highlight w:val="none"/>
          <w:lang w:val="en-US" w:eastAsia="zh-CN"/>
        </w:rPr>
        <w:t xml:space="preserve">同时</w:t>
      </w:r>
      <w:r>
        <w:rPr>
          <w:rFonts w:hint="eastAsia" w:ascii="宋体" w:hAnsi="宋体" w:eastAsia="宋体" w:cs="宋体"/>
          <w:color w:val="auto"/>
          <w:sz w:val="24"/>
          <w:szCs w:val="24"/>
          <w:highlight w:val="none"/>
          <w:lang w:val="en-US" w:eastAsia="zh-CN"/>
        </w:rPr>
        <w:t xml:space="preserve">持有</w:t>
      </w:r>
      <w:r>
        <w:rPr>
          <w:rFonts w:hint="eastAsia" w:ascii="宋体" w:hAnsi="宋体" w:eastAsia="宋体" w:cs="宋体"/>
          <w:b w:val="0"/>
          <w:bCs w:val="0"/>
          <w:color w:val="auto"/>
          <w:sz w:val="24"/>
          <w:szCs w:val="24"/>
          <w:highlight w:val="none"/>
          <w:lang w:val="en-US" w:eastAsia="zh-CN" w:bidi="ar-SA"/>
        </w:rPr>
        <w:t xml:space="preserve">低压或高压电工特种作业操作证、高处作业特种作业操作证人员不少于</w:t>
      </w:r>
      <w:r>
        <w:rPr>
          <w:rFonts w:hint="eastAsia" w:ascii="宋体" w:hAnsi="宋体" w:cs="宋体"/>
          <w:b w:val="0"/>
          <w:bCs w:val="0"/>
          <w:color w:val="auto"/>
          <w:sz w:val="24"/>
          <w:szCs w:val="24"/>
          <w:highlight w:val="none"/>
          <w:lang w:val="en-US" w:eastAsia="zh-CN" w:bidi="ar-SA"/>
        </w:rPr>
        <w:t xml:space="preserve">3名</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累计拟投入人员不少于8名。</w:t>
      </w:r>
      <w:r/>
    </w:p>
    <w:p>
      <w:pPr>
        <w:ind w:firstLine="480"/>
        <w:spacing w:line="360" w:lineRule="auto"/>
        <w:rPr>
          <w:rFonts w:hint="eastAsia" w:ascii="宋体" w:hAnsi="宋体" w:cs="宋体"/>
          <w:b/>
          <w:bCs/>
          <w:color w:val="auto"/>
          <w:sz w:val="24"/>
          <w:szCs w:val="24"/>
          <w:highlight w:val="none"/>
          <w:lang w:val="en-US"/>
        </w:rPr>
      </w:pPr>
      <w:r>
        <w:rPr>
          <w:rFonts w:hint="eastAsia" w:ascii="宋体" w:hAnsi="宋体" w:cs="宋体"/>
          <w:b/>
          <w:bCs/>
          <w:color w:val="auto"/>
          <w:sz w:val="24"/>
          <w:szCs w:val="24"/>
          <w:highlight w:val="none"/>
          <w:lang w:val="en-US" w:eastAsia="zh-CN"/>
        </w:rPr>
        <w:t xml:space="preserve">【注：响应文件中须提供上述人员名单、有效证书以</w:t>
      </w:r>
      <w:r>
        <w:rPr>
          <w:rFonts w:hint="eastAsia" w:ascii="宋体" w:hAnsi="宋体" w:eastAsia="宋体" w:cs="宋体"/>
          <w:b/>
          <w:bCs/>
          <w:color w:val="auto"/>
          <w:sz w:val="24"/>
          <w:szCs w:val="24"/>
          <w:highlight w:val="none"/>
          <w:lang w:val="en-US" w:eastAsia="zh-CN"/>
        </w:rPr>
        <w:t xml:space="preserve">及</w:t>
      </w:r>
      <w:r>
        <w:rPr>
          <w:rFonts w:hint="eastAsia" w:ascii="宋体" w:hAnsi="宋体" w:eastAsia="宋体" w:cs="宋体"/>
          <w:b/>
          <w:bCs/>
          <w:color w:val="auto"/>
          <w:sz w:val="24"/>
          <w:szCs w:val="24"/>
          <w:highlight w:val="none"/>
        </w:rPr>
        <w:t xml:space="preserve">供应商为其缴纳</w:t>
      </w:r>
      <w:r>
        <w:rPr>
          <w:rFonts w:hint="eastAsia" w:ascii="宋体" w:hAnsi="宋体" w:cs="宋体"/>
          <w:b/>
          <w:bCs/>
          <w:color w:val="auto"/>
          <w:sz w:val="24"/>
          <w:szCs w:val="24"/>
          <w:highlight w:val="none"/>
          <w:lang w:eastAsia="zh-CN"/>
        </w:rPr>
        <w:t xml:space="preserve">的</w:t>
      </w:r>
      <w:r>
        <w:rPr>
          <w:rFonts w:hint="eastAsia" w:ascii="宋体" w:hAnsi="宋体" w:eastAsia="宋体" w:cs="宋体"/>
          <w:b/>
          <w:bCs/>
          <w:color w:val="auto"/>
          <w:sz w:val="24"/>
          <w:szCs w:val="24"/>
          <w:highlight w:val="none"/>
          <w:lang w:val="en-US" w:eastAsia="zh-CN"/>
        </w:rPr>
        <w:t xml:space="preserve">社保</w:t>
      </w:r>
      <w:r>
        <w:rPr>
          <w:rFonts w:hint="eastAsia" w:ascii="宋体" w:hAnsi="宋体" w:cs="宋体"/>
          <w:b/>
          <w:bCs/>
          <w:color w:val="auto"/>
          <w:sz w:val="24"/>
          <w:szCs w:val="24"/>
          <w:highlight w:val="none"/>
          <w:lang w:val="en-US" w:eastAsia="zh-CN"/>
        </w:rPr>
        <w:t xml:space="preserve">凭证</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近3个月内任意一个月</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未按要求提供的，视为未实质性响应采购需求。】</w:t>
      </w:r>
      <w:r/>
    </w:p>
    <w:p>
      <w:pPr>
        <w:ind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default" w:ascii="宋体" w:hAnsi="宋体" w:eastAsia="宋体" w:cs="宋体"/>
          <w:color w:val="auto"/>
          <w:sz w:val="24"/>
          <w:szCs w:val="24"/>
          <w:highlight w:val="none"/>
          <w:lang w:val="en-US" w:eastAsia="zh-CN"/>
        </w:rPr>
        <w:t xml:space="preserve">为确保安置房泛光照明维修工程顺利实施，保障施工质量、安全及进度，成交单位须配备足量、完好、符合工程施工标准的机械设备，所有设备需经检验合格并在有效使用期内</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成交单位配备的设备数量、规格需根据实际施工需求灵活增补，确保满足现场施工全流程需求。机械设备操作人员需具备相应的操作资质，持有效特种作业操作证上岗（如高空作业、电工等），严禁无证操作；操作人员需严格按照设备操作规程作业，做好安全防护措施，杜绝安全事故发生。</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、承包方式：包工包料</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、施工要求：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（1）成交单位应组织成立施工项目组，项目组人员配置符合国家及行业相关规定。</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（2）施工质量应符合现行国家技术、施工及验收规范</w:t>
      </w:r>
      <w:r>
        <w:rPr>
          <w:rFonts w:hint="eastAsia" w:ascii="宋体" w:hAnsi="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rPr>
        <w:t xml:space="preserve">规程，如有对施工工艺的特殊要求，按图纸及国家有关规定执行。</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（3）质量要求：合格。</w:t>
      </w:r>
      <w:r/>
    </w:p>
    <w:p>
      <w:pPr>
        <w:ind w:firstLine="480"/>
        <w:keepLines w:val="0"/>
        <w:keepNext w:val="0"/>
        <w:pageBreakBefore w:val="0"/>
        <w:spacing w:line="360" w:lineRule="auto"/>
        <w:widowControl w:val="off"/>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（4）施工人员需服从采购方安全管理。</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项目条件：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1、本工程项目按照现行法律、法规和部门规章，通过磋商方式选定承包人。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2、现场条件：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2.1施工现场平整情况：</w:t>
      </w:r>
      <w:r>
        <w:rPr>
          <w:rFonts w:hint="eastAsia" w:ascii="宋体" w:hAnsi="宋体" w:eastAsia="宋体" w:cs="宋体"/>
          <w:color w:val="auto"/>
          <w:sz w:val="24"/>
          <w:szCs w:val="24"/>
          <w:highlight w:val="none"/>
          <w:u w:val="single"/>
        </w:rPr>
        <w:t xml:space="preserve">现有原状</w:t>
      </w:r>
      <w:r>
        <w:rPr>
          <w:rFonts w:hint="eastAsia" w:ascii="宋体" w:hAnsi="宋体" w:cs="宋体"/>
          <w:color w:val="auto"/>
          <w:sz w:val="24"/>
          <w:szCs w:val="24"/>
          <w:highlight w:val="none"/>
          <w:u w:val="singl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2.2场内外道路：</w:t>
      </w:r>
      <w:r>
        <w:rPr>
          <w:rFonts w:hint="eastAsia" w:ascii="宋体" w:hAnsi="宋体" w:eastAsia="宋体" w:cs="宋体"/>
          <w:color w:val="auto"/>
          <w:sz w:val="24"/>
          <w:szCs w:val="24"/>
          <w:highlight w:val="none"/>
          <w:u w:val="single"/>
        </w:rPr>
        <w:t xml:space="preserve">已到位</w:t>
      </w:r>
      <w:r>
        <w:rPr>
          <w:rFonts w:hint="eastAsia" w:ascii="宋体" w:hAnsi="宋体" w:cs="宋体"/>
          <w:color w:val="auto"/>
          <w:sz w:val="24"/>
          <w:szCs w:val="24"/>
          <w:highlight w:val="none"/>
          <w:u w:val="singl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2.3施工用电：</w:t>
      </w:r>
      <w:r>
        <w:rPr>
          <w:rFonts w:hint="eastAsia" w:ascii="宋体" w:hAnsi="宋体" w:eastAsia="宋体" w:cs="宋体"/>
          <w:color w:val="auto"/>
          <w:sz w:val="24"/>
          <w:szCs w:val="24"/>
          <w:highlight w:val="none"/>
          <w:u w:val="single"/>
        </w:rPr>
        <w:t xml:space="preserve">已到位</w:t>
      </w:r>
      <w:r>
        <w:rPr>
          <w:rFonts w:hint="eastAsia" w:ascii="宋体" w:hAnsi="宋体" w:cs="宋体"/>
          <w:color w:val="auto"/>
          <w:sz w:val="24"/>
          <w:szCs w:val="24"/>
          <w:highlight w:val="none"/>
          <w:u w:val="singl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3、发包范围：</w:t>
      </w:r>
      <w:r>
        <w:rPr>
          <w:rFonts w:hint="eastAsia" w:ascii="宋体" w:hAnsi="宋体" w:cs="宋体"/>
          <w:color w:val="auto"/>
          <w:sz w:val="24"/>
          <w:szCs w:val="24"/>
          <w:highlight w:val="none"/>
          <w:u w:val="single"/>
          <w:lang w:eastAsia="zh-CN"/>
        </w:rPr>
        <w:t xml:space="preserve">镇湖安置房1-5期泛光照明维修工程</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4、工期要求：</w:t>
      </w:r>
      <w:r>
        <w:rPr>
          <w:rFonts w:hint="eastAsia" w:ascii="宋体" w:hAnsi="宋体" w:cs="宋体"/>
          <w:color w:val="auto"/>
          <w:sz w:val="24"/>
          <w:szCs w:val="24"/>
          <w:highlight w:val="none"/>
          <w:u w:val="single"/>
          <w:lang w:eastAsia="zh-CN"/>
        </w:rPr>
        <w:t xml:space="preserve">3个月，具体开工日期以采购人通知为准。</w:t>
      </w:r>
      <w:r/>
    </w:p>
    <w:p>
      <w:pPr>
        <w:ind w:firstLine="482"/>
        <w:keepLines w:val="0"/>
        <w:keepNext w:val="0"/>
        <w:pageBreakBefore w:val="0"/>
        <w:spacing w:line="360" w:lineRule="auto"/>
        <w:widowControl w:val="off"/>
        <w:tabs>
          <w:tab w:val="left" w:pos="1134"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）报价要求：</w:t>
      </w:r>
      <w:r/>
    </w:p>
    <w:p>
      <w:pPr>
        <w:ind w:firstLine="480"/>
        <w:keepLines w:val="0"/>
        <w:keepNext w:val="0"/>
        <w:pageBreakBefore w:val="0"/>
        <w:spacing w:line="360" w:lineRule="auto"/>
        <w:widowControl w:val="off"/>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1、计价方式：本工程项目采用下列第</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种计价方式。</w:t>
      </w:r>
      <w:r/>
    </w:p>
    <w:p>
      <w:pPr>
        <w:ind w:firstLine="480"/>
        <w:keepLines w:val="0"/>
        <w:keepNext w:val="0"/>
        <w:pageBreakBefore w:val="0"/>
        <w:spacing w:line="360" w:lineRule="auto"/>
        <w:widowControl w:val="off"/>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（1）工程量清单计价方式</w:t>
      </w:r>
      <w:r/>
    </w:p>
    <w:p>
      <w:pPr>
        <w:ind w:firstLine="480"/>
        <w:keepLines w:val="0"/>
        <w:keepNext w:val="0"/>
        <w:pageBreakBefore w:val="0"/>
        <w:spacing w:line="360" w:lineRule="auto"/>
        <w:widowControl w:val="off"/>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（2）计价表计价方式</w:t>
      </w:r>
      <w:r/>
    </w:p>
    <w:p>
      <w:pPr>
        <w:ind w:firstLine="480"/>
        <w:keepLines w:val="0"/>
        <w:keepNext w:val="0"/>
        <w:pageBreakBefore w:val="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2、报价方式：本工程项目采用下列第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种报价方式。</w:t>
      </w:r>
      <w:r/>
    </w:p>
    <w:p>
      <w:pPr>
        <w:ind w:firstLine="480"/>
        <w:keepLines w:val="0"/>
        <w:keepNext w:val="0"/>
        <w:pageBreakBefore w:val="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（1）固定总价报价。竞争报价人应充分考虑施工期间各类建材市场价格变化，政策性调整的风险，一旦经评审确定成交单位，报价不作调整。</w:t>
      </w:r>
      <w:r/>
    </w:p>
    <w:p>
      <w:pPr>
        <w:ind w:firstLine="480"/>
        <w:keepLines w:val="0"/>
        <w:keepNext w:val="0"/>
        <w:pageBreakBefore w:val="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固定单价报价。供应商应充分考虑施工期间各类建材的市场风险和国家政策性调整风险系数，具体按照国家和苏州市相关文件执行。本工程的具体结算方式在合同条款中约定。执行固定单价报价的基本规定：</w:t>
      </w:r>
      <w:r/>
    </w:p>
    <w:p>
      <w:pPr>
        <w:ind w:firstLine="480"/>
        <w:keepLines w:val="0"/>
        <w:keepNext w:val="0"/>
        <w:pageBreakBefore w:val="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①供应商报价时，必须按统一的工程量清单报价</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成交后，本工程中工程量清单项目的综合单价按预算单价下浮之后的综合单价执行【成交下浮率＝（预算价-成交价）/[预算价-暂列金额*（1+规费费率）*（1+税费费率）-专业暂估价*（1+规费费率）*（1+税费费率）-材料暂估价包括采购方供材料费*（1+安全文明施工措施费率）*（1+规费费率）*（1+税费费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由于工程量清单的工程数量有误或者设计变更、现场签证等引起的工程量增减，</w:t>
      </w:r>
      <w:r>
        <w:rPr>
          <w:rFonts w:hint="eastAsia" w:ascii="宋体" w:hAnsi="宋体" w:eastAsia="宋体" w:cs="宋体"/>
          <w:color w:val="auto"/>
          <w:sz w:val="24"/>
          <w:szCs w:val="24"/>
          <w:highlight w:val="none"/>
        </w:rPr>
        <w:t xml:space="preserve">其增加部分的工程量或者减少后剩余部分的工程量的综合单价由成交单位提出，经采购方确认后，作为支付进度款的依据。最终价格以</w:t>
      </w:r>
      <w:r>
        <w:rPr>
          <w:rFonts w:hint="eastAsia" w:ascii="宋体" w:hAnsi="宋体" w:cs="宋体"/>
          <w:color w:val="auto"/>
          <w:sz w:val="24"/>
          <w:szCs w:val="24"/>
          <w:highlight w:val="none"/>
          <w:lang w:val="en-US" w:eastAsia="zh-CN"/>
        </w:rPr>
        <w:t xml:space="preserve">评审</w:t>
      </w:r>
      <w:r>
        <w:rPr>
          <w:rFonts w:hint="eastAsia" w:ascii="宋体" w:hAnsi="宋体" w:eastAsia="宋体" w:cs="宋体"/>
          <w:color w:val="auto"/>
          <w:sz w:val="24"/>
          <w:szCs w:val="24"/>
          <w:highlight w:val="none"/>
        </w:rPr>
        <w:t xml:space="preserve">为准。</w:t>
      </w:r>
      <w:r/>
    </w:p>
    <w:p>
      <w:pPr>
        <w:ind w:firstLine="48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②在采购文件中已明确的各项施工措施费，均包含在合同总价中。其他在采购文件和答疑中未提及、未明确部分的施工措施费项目，结算时不予计入。</w:t>
      </w:r>
      <w:r/>
    </w:p>
    <w:p>
      <w:pPr>
        <w:ind w:firstLine="48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实质性响应条款：</w:t>
      </w:r>
      <w:r>
        <w:rPr>
          <w:rFonts w:hint="eastAsia" w:ascii="宋体" w:hAnsi="宋体" w:eastAsia="宋体" w:cs="宋体"/>
          <w:color w:val="auto"/>
          <w:sz w:val="24"/>
          <w:szCs w:val="24"/>
          <w:highlight w:val="none"/>
          <w:lang w:val="en-US" w:eastAsia="zh-CN"/>
        </w:rPr>
        <w:t xml:space="preserve">A.</w:t>
      </w:r>
      <w:r>
        <w:rPr>
          <w:rFonts w:hint="eastAsia" w:ascii="宋体" w:hAnsi="宋体" w:eastAsia="宋体" w:cs="宋体"/>
          <w:color w:val="auto"/>
          <w:sz w:val="24"/>
          <w:szCs w:val="24"/>
          <w:highlight w:val="none"/>
        </w:rPr>
        <w:t xml:space="preserve">追加费用不得超过原合同金额的10%。</w:t>
      </w:r>
      <w:r>
        <w:rPr>
          <w:rFonts w:hint="eastAsia" w:ascii="宋体" w:hAnsi="宋体" w:eastAsia="宋体" w:cs="宋体"/>
          <w:color w:val="auto"/>
          <w:sz w:val="24"/>
          <w:szCs w:val="24"/>
          <w:highlight w:val="none"/>
          <w:lang w:val="en-US" w:eastAsia="zh-CN"/>
        </w:rPr>
        <w:t xml:space="preserve">B.</w:t>
      </w:r>
      <w:r>
        <w:rPr>
          <w:rFonts w:hint="eastAsia" w:ascii="宋体" w:hAnsi="宋体" w:eastAsia="宋体" w:cs="宋体"/>
          <w:color w:val="auto"/>
          <w:sz w:val="24"/>
          <w:szCs w:val="24"/>
          <w:highlight w:val="none"/>
        </w:rPr>
        <w:t xml:space="preserve">原合同金额10%以内的追加费用，限于原合同内工程清单数量调整增加的工程费用，原合同外工程内容不得计入。</w:t>
      </w:r>
      <w:r/>
    </w:p>
    <w:p>
      <w:pPr>
        <w:ind w:firstLine="48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小额工程在履行合同时，发生工程变更的，按照工程变更管理的相关规定办理变更手续。工程完工验收合格后，按发包方要求进行审计。</w:t>
      </w:r>
      <w:r/>
    </w:p>
    <w:p>
      <w:pPr>
        <w:ind w:firstLine="48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3、计价时，不可竞争费用均按规定计算，不得让利或随意调整计算标准，否则报价无效。</w:t>
      </w:r>
      <w:r/>
    </w:p>
    <w:p>
      <w:pPr>
        <w:ind w:firstLine="48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4、计价格式中列明的所有需要填报的单价和合价，供应商均需填报，未填报的单价和合价，视为此项费用已包含在工程量清单的其他单价和合价中。</w:t>
      </w:r>
      <w:r/>
    </w:p>
    <w:p>
      <w:pPr>
        <w:ind w:firstLine="482"/>
        <w:spacing w:line="360" w:lineRule="auto"/>
        <w:tabs>
          <w:tab w:val="left" w:pos="1134"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）履约验收要求：</w:t>
      </w:r>
      <w:r/>
    </w:p>
    <w:p>
      <w:p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1、项目完成后将由采购人、相关管理部门等进行验收。</w:t>
      </w:r>
      <w:r/>
    </w:p>
    <w:p>
      <w:p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2、验收标准：符合国家现行规范、行业标准以及省、市、苏州</w:t>
      </w:r>
      <w:r>
        <w:rPr>
          <w:rFonts w:hint="eastAsia" w:ascii="宋体" w:hAnsi="宋体" w:eastAsia="宋体" w:cs="宋体"/>
          <w:color w:val="auto"/>
          <w:sz w:val="24"/>
          <w:szCs w:val="24"/>
          <w:highlight w:val="none"/>
          <w:lang w:val="en-US" w:eastAsia="zh-CN"/>
        </w:rPr>
        <w:t xml:space="preserve">高新区</w:t>
      </w:r>
      <w:r>
        <w:rPr>
          <w:rFonts w:hint="eastAsia" w:ascii="宋体" w:hAnsi="宋体" w:eastAsia="宋体" w:cs="宋体"/>
          <w:color w:val="auto"/>
          <w:sz w:val="24"/>
          <w:szCs w:val="24"/>
          <w:highlight w:val="none"/>
        </w:rPr>
        <w:t xml:space="preserve">相关审核要求、采购文件及相关附件、技术条件及成交单位承诺的其它指标。</w:t>
      </w:r>
      <w:r/>
    </w:p>
    <w:p>
      <w:p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3、验收时间：根据采购人进度安排确定。</w:t>
      </w:r>
      <w:r/>
    </w:p>
    <w:p>
      <w:p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成交单位未能按时完成项目内容或验收不合格、相关要求不合格、达不到采购文件要求或响应文件中所承诺的标准，成交单位将无偿采取补救措施，以达到质量要求且不得影响最终项目时间进程。否则采购人有权拒绝付款，并上报有关部门进行失信登记，成交单位须承担相关损失及违约责任。</w:t>
      </w:r>
      <w:r/>
    </w:p>
    <w:p>
      <w:p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5、本项目将根据政府采购法及相关法规，以及《江苏省政府采购履约验收管理办法》的规定，对供应商进行履约验收。</w:t>
      </w:r>
      <w:r/>
    </w:p>
    <w:p>
      <w:pPr>
        <w:ind w:firstLine="482"/>
        <w:spacing w:line="360" w:lineRule="auto"/>
        <w:tabs>
          <w:tab w:val="left" w:pos="1134"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二、综合说明：</w:t>
      </w:r>
      <w:r/>
    </w:p>
    <w:p>
      <w:pPr>
        <w:ind w:firstLine="48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1、供应商提供的服务至少能够达到以上要求，并对所提供的全部资料的真实性承担法律责任。</w:t>
      </w:r>
      <w:r/>
    </w:p>
    <w:p>
      <w:pPr>
        <w:ind w:firstLine="48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2、供应商必须说明其是否响应采购文件中提出的全部服务内容与要求，如果以其中某些条款不响应，应在文件中逐条列出，未列出的视同响应。</w:t>
      </w:r>
      <w:r/>
    </w:p>
    <w:p>
      <w:pPr>
        <w:ind w:firstLine="480"/>
        <w:spacing w:line="360" w:lineRule="auto"/>
        <w:tabs>
          <w:tab w:val="left" w:pos="1134" w:leader="none"/>
        </w:tabs>
        <w:rPr>
          <w:rFonts w:hint="eastAsia" w:ascii="宋体" w:hAnsi="宋体" w:eastAsia="宋体" w:cs="宋体"/>
          <w:color w:val="auto"/>
          <w:spacing w:val="1"/>
          <w:sz w:val="24"/>
          <w:szCs w:val="24"/>
          <w:highlight w:val="none"/>
        </w:rPr>
      </w:pPr>
      <w:r>
        <w:rPr>
          <w:rFonts w:hint="eastAsia" w:ascii="宋体" w:hAnsi="宋体" w:eastAsia="宋体" w:cs="宋体"/>
          <w:color w:val="auto"/>
          <w:sz w:val="24"/>
          <w:szCs w:val="24"/>
          <w:highlight w:val="none"/>
        </w:rPr>
        <w:t xml:space="preserve">3、报价包括完成该项目所需的全部人工费、材料费、机械费、管理费、利润、工程风险、规费、应有税费，以及所需的施工准备、施工过程、保修期等所需的供货、运输、运杂保险、装卸、备品、备件、损耗、安装、调试、人员培训、售后服务、</w:t>
      </w:r>
      <w:r>
        <w:rPr>
          <w:rFonts w:hint="eastAsia" w:ascii="宋体" w:hAnsi="宋体" w:cs="宋体"/>
          <w:color w:val="auto"/>
          <w:sz w:val="24"/>
          <w:szCs w:val="24"/>
          <w:highlight w:val="none"/>
          <w:lang w:eastAsia="zh-CN"/>
        </w:rPr>
        <w:t xml:space="preserve">专利技术、代理服务费等</w:t>
      </w:r>
      <w:r>
        <w:rPr>
          <w:rFonts w:hint="eastAsia" w:ascii="宋体" w:hAnsi="宋体" w:eastAsia="宋体" w:cs="宋体"/>
          <w:color w:val="auto"/>
          <w:sz w:val="24"/>
          <w:szCs w:val="24"/>
          <w:highlight w:val="none"/>
        </w:rPr>
        <w:t xml:space="preserve">一切费用。采购方无需再支付其他任何</w:t>
      </w:r>
      <w:r>
        <w:rPr>
          <w:rFonts w:hint="eastAsia" w:ascii="宋体" w:hAnsi="宋体" w:eastAsia="宋体" w:cs="宋体"/>
          <w:color w:val="auto"/>
          <w:spacing w:val="1"/>
          <w:sz w:val="24"/>
          <w:szCs w:val="24"/>
          <w:highlight w:val="none"/>
        </w:rPr>
        <w:t xml:space="preserve">费用。除非合同条款中另有规定，否则，前述报价在合同实施期间不因市场因素、政策规定变更因素等任何因素调整。</w:t>
      </w:r>
      <w:r/>
    </w:p>
    <w:p>
      <w:pPr>
        <w:ind w:firstLine="48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4、工程施工期间涉及</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安全</w:t>
      </w:r>
      <w:r>
        <w:rPr>
          <w:rFonts w:hint="eastAsia" w:ascii="宋体" w:hAnsi="宋体" w:cs="宋体"/>
          <w:color w:val="auto"/>
          <w:sz w:val="24"/>
          <w:szCs w:val="24"/>
          <w:highlight w:val="none"/>
          <w:lang w:val="en-US" w:eastAsia="zh-CN"/>
        </w:rPr>
        <w:t xml:space="preserve">责任</w:t>
      </w:r>
      <w:r>
        <w:rPr>
          <w:rFonts w:hint="eastAsia" w:ascii="宋体" w:hAnsi="宋体" w:eastAsia="宋体" w:cs="宋体"/>
          <w:color w:val="auto"/>
          <w:sz w:val="24"/>
          <w:szCs w:val="24"/>
          <w:highlight w:val="none"/>
        </w:rPr>
        <w:t xml:space="preserve">由成交单位全部负责，</w:t>
      </w:r>
      <w:r>
        <w:rPr>
          <w:rFonts w:hint="eastAsia" w:ascii="宋体" w:hAnsi="宋体" w:cs="宋体"/>
          <w:color w:val="auto"/>
          <w:sz w:val="24"/>
          <w:szCs w:val="24"/>
          <w:highlight w:val="none"/>
          <w:lang w:val="en-US" w:eastAsia="zh-CN"/>
        </w:rPr>
        <w:t xml:space="preserve">因此产生的相关</w:t>
      </w:r>
      <w:r>
        <w:rPr>
          <w:rFonts w:hint="eastAsia" w:ascii="宋体" w:hAnsi="宋体" w:eastAsia="宋体" w:cs="宋体"/>
          <w:color w:val="auto"/>
          <w:sz w:val="24"/>
          <w:szCs w:val="24"/>
          <w:highlight w:val="none"/>
        </w:rPr>
        <w:t xml:space="preserve">安全</w:t>
      </w:r>
      <w:r>
        <w:rPr>
          <w:rFonts w:hint="eastAsia" w:ascii="宋体" w:hAnsi="宋体" w:cs="宋体"/>
          <w:color w:val="auto"/>
          <w:sz w:val="24"/>
          <w:szCs w:val="24"/>
          <w:highlight w:val="none"/>
          <w:lang w:val="en-US" w:eastAsia="zh-CN"/>
        </w:rPr>
        <w:t xml:space="preserve">费用</w:t>
      </w:r>
      <w:r>
        <w:rPr>
          <w:rFonts w:hint="eastAsia" w:ascii="宋体" w:hAnsi="宋体" w:eastAsia="宋体" w:cs="宋体"/>
          <w:color w:val="auto"/>
          <w:sz w:val="24"/>
          <w:szCs w:val="24"/>
          <w:highlight w:val="none"/>
        </w:rPr>
        <w:t xml:space="preserve">一律由成交单位承担。工程施工期间，非因采购方原因导致在施工场地及其毗邻地带造成的采购方、施工人员及任何第三者人身伤亡和财产损失均由成交单位承担赔偿责任。若由此给采购方造成任何损害或损失的，包括但不限于相关政府部门的罚款、采购方支付给第三方的赔偿金等，成交单位对此亦承担全部赔偿责任。</w:t>
      </w:r>
      <w:r/>
    </w:p>
    <w:p>
      <w:pPr>
        <w:ind w:firstLine="48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lang w:val="en-US" w:eastAsia="zh-CN"/>
        </w:rPr>
        <w:t xml:space="preserve">质</w:t>
      </w:r>
      <w:r>
        <w:rPr>
          <w:rFonts w:hint="eastAsia" w:ascii="宋体" w:hAnsi="宋体" w:eastAsia="宋体" w:cs="宋体"/>
          <w:color w:val="auto"/>
          <w:sz w:val="24"/>
          <w:szCs w:val="24"/>
          <w:highlight w:val="none"/>
        </w:rPr>
        <w:t xml:space="preserve">量必须达到合格，凡非因采购方责任，经验收达不到合格要求，必须返工到合格并承担因返工引起的一切经济损失。</w:t>
      </w:r>
      <w:r/>
    </w:p>
    <w:p>
      <w:pPr>
        <w:ind w:firstLine="48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6、伴随服务：</w:t>
      </w:r>
      <w:r/>
    </w:p>
    <w:p>
      <w:pPr>
        <w:ind w:firstLine="48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成交单位除应履行按期按量交付合格的工程及设备、材料的义务之外，还应提供下列服务：</w:t>
      </w:r>
      <w:r/>
    </w:p>
    <w:p>
      <w:pPr>
        <w:ind w:firstLine="48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（1）设备的现场安装、启动、调试、监督（如</w:t>
      </w:r>
      <w:r>
        <w:rPr>
          <w:rFonts w:hint="eastAsia" w:ascii="宋体" w:hAnsi="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安装调试的话）。</w:t>
      </w:r>
      <w:r/>
    </w:p>
    <w:p>
      <w:pPr>
        <w:ind w:firstLine="48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（2）除合同另有约定之外，伴随服务的费用均已含在合同价款中，采购方不再另行支付。</w:t>
      </w:r>
      <w:r/>
    </w:p>
    <w:p>
      <w:pPr>
        <w:ind w:firstLine="48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7、成交单位应当办理有关施工现场交通、环卫、施工噪声等管理手续，</w:t>
      </w:r>
      <w:r>
        <w:rPr>
          <w:rFonts w:hint="eastAsia" w:ascii="宋体" w:hAnsi="宋体" w:cs="宋体"/>
          <w:color w:val="auto"/>
          <w:sz w:val="24"/>
          <w:szCs w:val="24"/>
          <w:highlight w:val="none"/>
          <w:lang w:val="en-US" w:eastAsia="zh-CN"/>
        </w:rPr>
        <w:t xml:space="preserve">相关</w:t>
      </w:r>
      <w:r>
        <w:rPr>
          <w:rFonts w:hint="eastAsia" w:ascii="宋体" w:hAnsi="宋体" w:eastAsia="宋体" w:cs="宋体"/>
          <w:color w:val="auto"/>
          <w:sz w:val="24"/>
          <w:szCs w:val="24"/>
          <w:highlight w:val="none"/>
        </w:rPr>
        <w:t xml:space="preserve">费用由成交单位负责。</w:t>
      </w:r>
      <w:r/>
    </w:p>
    <w:p>
      <w:pPr>
        <w:ind w:firstLine="48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8、工程未交付之前，成交单位应自始至终对成品进行保护</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防止</w:t>
      </w:r>
      <w:r>
        <w:rPr>
          <w:rFonts w:hint="eastAsia" w:ascii="宋体" w:hAnsi="宋体" w:cs="宋体"/>
          <w:color w:val="auto"/>
          <w:sz w:val="24"/>
          <w:szCs w:val="24"/>
          <w:highlight w:val="none"/>
          <w:lang w:val="en-US" w:eastAsia="zh-CN"/>
        </w:rPr>
        <w:t xml:space="preserve">损坏或</w:t>
      </w:r>
      <w:r>
        <w:rPr>
          <w:rFonts w:hint="eastAsia" w:ascii="宋体" w:hAnsi="宋体" w:eastAsia="宋体" w:cs="宋体"/>
          <w:color w:val="auto"/>
          <w:sz w:val="24"/>
          <w:szCs w:val="24"/>
          <w:highlight w:val="none"/>
        </w:rPr>
        <w:t xml:space="preserve">丢失。</w:t>
      </w:r>
      <w:r/>
    </w:p>
    <w:p>
      <w:pPr>
        <w:ind w:firstLine="48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9、项目保密要求：成交单位负责对采购</w:t>
      </w:r>
      <w:r>
        <w:rPr>
          <w:rFonts w:hint="eastAsia" w:ascii="宋体" w:hAnsi="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rPr>
        <w:t xml:space="preserve">所提供资料的保密，成交单位及成交单位工作人员需遵守采购方的保密规定，不以任何形式将收集的所有资料、数据等</w:t>
      </w:r>
      <w:r>
        <w:rPr>
          <w:rFonts w:hint="eastAsia" w:ascii="宋体" w:hAnsi="宋体" w:cs="宋体"/>
          <w:color w:val="auto"/>
          <w:sz w:val="24"/>
          <w:szCs w:val="24"/>
          <w:highlight w:val="none"/>
          <w:lang w:val="en-US" w:eastAsia="zh-CN"/>
        </w:rPr>
        <w:t xml:space="preserve">泄露</w:t>
      </w:r>
      <w:r>
        <w:rPr>
          <w:rFonts w:hint="eastAsia" w:ascii="宋体" w:hAnsi="宋体" w:eastAsia="宋体" w:cs="宋体"/>
          <w:color w:val="auto"/>
          <w:sz w:val="24"/>
          <w:szCs w:val="24"/>
          <w:highlight w:val="none"/>
        </w:rPr>
        <w:t xml:space="preserve">、传播。否则采购方有权追究成交单位相关法律责任。</w:t>
      </w:r>
      <w:r/>
    </w:p>
    <w:p>
      <w:pPr>
        <w:ind w:firstLine="48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10、成交单位需严格按采购文件规定的要求完成项目的全部工作内容，成交单位应严格</w:t>
      </w:r>
      <w:r>
        <w:rPr>
          <w:rFonts w:hint="eastAsia" w:ascii="宋体" w:hAnsi="宋体" w:cs="宋体"/>
          <w:color w:val="auto"/>
          <w:sz w:val="24"/>
          <w:szCs w:val="24"/>
          <w:highlight w:val="none"/>
          <w:lang w:val="en-US" w:eastAsia="zh-CN"/>
        </w:rPr>
        <w:t xml:space="preserve">遵守合同</w:t>
      </w:r>
      <w:r>
        <w:rPr>
          <w:rFonts w:hint="eastAsia" w:ascii="宋体" w:hAnsi="宋体" w:eastAsia="宋体" w:cs="宋体"/>
          <w:color w:val="auto"/>
          <w:sz w:val="24"/>
          <w:szCs w:val="24"/>
          <w:highlight w:val="none"/>
        </w:rPr>
        <w:t xml:space="preserve">约</w:t>
      </w:r>
      <w:r>
        <w:rPr>
          <w:rFonts w:hint="eastAsia" w:ascii="宋体" w:hAnsi="宋体" w:cs="宋体"/>
          <w:color w:val="auto"/>
          <w:sz w:val="24"/>
          <w:szCs w:val="24"/>
          <w:highlight w:val="none"/>
          <w:lang w:val="en-US" w:eastAsia="zh-CN"/>
        </w:rPr>
        <w:t xml:space="preserve">定</w:t>
      </w:r>
      <w:r>
        <w:rPr>
          <w:rFonts w:hint="eastAsia" w:ascii="宋体" w:hAnsi="宋体" w:eastAsia="宋体" w:cs="宋体"/>
          <w:color w:val="auto"/>
          <w:sz w:val="24"/>
          <w:szCs w:val="24"/>
          <w:highlight w:val="none"/>
        </w:rPr>
        <w:t xml:space="preserve">。项目在实施及完成以后，如采购方有需要成交单位配合的服务，成交单位须予以配合，协助采购方完善项目内容。</w:t>
      </w:r>
      <w:r/>
    </w:p>
    <w:p>
      <w:pPr>
        <w:ind w:firstLine="48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11、知识产权：成交单位应保证所提供服务涉及的知识产权是合法取得，并享有完整的知识产权，不会因为采购</w:t>
      </w:r>
      <w:r>
        <w:rPr>
          <w:rFonts w:hint="eastAsia" w:ascii="宋体" w:hAnsi="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rPr>
        <w:t xml:space="preserve">的使用而被责令停止使用、追偿或要求赔偿损失，如出现此情况，一切经济和法律责任均由成交单位承担。成交单位应保证采购</w:t>
      </w:r>
      <w:r>
        <w:rPr>
          <w:rFonts w:hint="eastAsia" w:ascii="宋体" w:hAnsi="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rPr>
        <w:t xml:space="preserve">免除且成交单位承担由于采购</w:t>
      </w:r>
      <w:r>
        <w:rPr>
          <w:rFonts w:hint="eastAsia" w:ascii="宋体" w:hAnsi="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rPr>
        <w:t xml:space="preserve">在其本国使用该项目或项目任何一部分时而引起第三方提出的侵犯专利权、商标权或工业设计权的起诉、索赔</w:t>
      </w:r>
      <w:r>
        <w:rPr>
          <w:rFonts w:hint="eastAsia" w:ascii="宋体" w:hAnsi="宋体" w:cs="宋体"/>
          <w:color w:val="auto"/>
          <w:sz w:val="24"/>
          <w:szCs w:val="24"/>
          <w:highlight w:val="none"/>
          <w:lang w:val="en-US" w:eastAsia="zh-CN"/>
        </w:rPr>
        <w:t xml:space="preserve">或行政程序</w:t>
      </w:r>
      <w:r>
        <w:rPr>
          <w:rFonts w:hint="eastAsia" w:ascii="宋体" w:hAnsi="宋体" w:eastAsia="宋体" w:cs="宋体"/>
          <w:color w:val="auto"/>
          <w:sz w:val="24"/>
          <w:szCs w:val="24"/>
          <w:highlight w:val="none"/>
        </w:rPr>
        <w:t xml:space="preserve">等以及采购</w:t>
      </w:r>
      <w:r>
        <w:rPr>
          <w:rFonts w:hint="eastAsia" w:ascii="宋体" w:hAnsi="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rPr>
        <w:t xml:space="preserve">为此而产生的损失</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费用</w:t>
      </w:r>
      <w:r>
        <w:rPr>
          <w:rFonts w:hint="eastAsia" w:ascii="宋体" w:hAnsi="宋体" w:eastAsia="宋体" w:cs="宋体"/>
          <w:color w:val="auto"/>
          <w:sz w:val="24"/>
          <w:szCs w:val="24"/>
          <w:highlight w:val="none"/>
        </w:rPr>
        <w:t xml:space="preserve">和支出（包括律师费）。</w:t>
      </w:r>
      <w:r/>
    </w:p>
    <w:p>
      <w:pPr>
        <w:ind w:firstLine="482"/>
        <w:spacing w:line="360" w:lineRule="auto"/>
        <w:tabs>
          <w:tab w:val="left" w:pos="42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三、政府采购政策：</w:t>
      </w:r>
      <w:r/>
    </w:p>
    <w:p>
      <w:pPr>
        <w:ind w:firstLine="482"/>
        <w:spacing w:line="360" w:lineRule="auto"/>
        <w:tabs>
          <w:tab w:val="left" w:pos="567"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（一）中小企业相关政策</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1、在货物采购项目中，货物由小型或微型企业制造，即货物由小型或微型企业生产且使用该小型或微型企业商号或者注册商标的，其报价在评审时给予20%的扣除，用扣除后的价格参与价格评审。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2、在服务采购项目中，服务由小型或微型企业承接，即提供服务的人员为小型或微型企业依照《中华人民共和国民法典》订立劳动合同的从业人员，其报价给予20%的扣除，用扣除后的价格参与价格评审。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3、在货物采购项目中，供应商提供的货物既有小型或微型企业制造货物，也有中型或大型企业制造货物的，不享受本办法规定的小微企业价格扶持政策。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4、以联合体形式参加政府采购活动，联合体各方均为中小企业的，联合体视同中小企业。其中，联合体各方均为小微企业的，联合体视同小微企业。</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5、符合中小企业划分标准的个体工商户，在政府采购活动中视同中小企业。</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color w:val="auto"/>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w:t>
      </w:r>
      <w:r>
        <w:rPr>
          <w:rFonts w:hint="eastAsia" w:ascii="宋体" w:hAnsi="宋体" w:cs="宋体"/>
          <w:b/>
          <w:bCs/>
          <w:color w:val="auto"/>
          <w:sz w:val="24"/>
          <w:szCs w:val="24"/>
          <w:highlight w:val="none"/>
          <w:lang w:eastAsia="zh-CN"/>
        </w:rPr>
        <w:t xml:space="preserve">的，</w:t>
      </w:r>
      <w:r>
        <w:rPr>
          <w:rFonts w:hint="eastAsia" w:ascii="宋体" w:hAnsi="宋体" w:eastAsia="宋体" w:cs="宋体"/>
          <w:b/>
          <w:bCs/>
          <w:color w:val="auto"/>
          <w:sz w:val="24"/>
          <w:szCs w:val="24"/>
          <w:highlight w:val="none"/>
        </w:rPr>
        <w:t xml:space="preserve">不享受相关政策。</w:t>
      </w:r>
      <w:r/>
    </w:p>
    <w:p>
      <w:pPr>
        <w:ind w:firstLine="480"/>
        <w:spacing w:line="360" w:lineRule="auto"/>
        <w:tabs>
          <w:tab w:val="left" w:pos="420" w:leader="none"/>
          <w:tab w:val="left" w:pos="1260" w:leader="none"/>
          <w:tab w:val="left" w:pos="1440"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7、根据《政府采购促进中小企业发展管理办法》（财库〔2020〕46号）及《中小企业划型标准规定》（工信部联企业〔2011〕300号），</w:t>
      </w:r>
      <w:r>
        <w:rPr>
          <w:rFonts w:hint="eastAsia" w:ascii="宋体" w:hAnsi="宋体" w:eastAsia="宋体" w:cs="宋体"/>
          <w:b/>
          <w:color w:val="auto"/>
          <w:sz w:val="24"/>
          <w:szCs w:val="24"/>
          <w:highlight w:val="none"/>
        </w:rPr>
        <w:t xml:space="preserve">本采购标的对应的中小企业划分标准所属行业为：建筑业。</w:t>
      </w:r>
      <w:r/>
    </w:p>
    <w:p>
      <w:pPr>
        <w:ind w:firstLine="480"/>
        <w:spacing w:line="360" w:lineRule="auto"/>
        <w:tabs>
          <w:tab w:val="left" w:pos="567"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8、残疾人福利性单位</w:t>
      </w:r>
      <w:r>
        <w:rPr>
          <w:rFonts w:hint="eastAsia" w:ascii="宋体" w:hAnsi="宋体" w:cs="宋体"/>
          <w:color w:val="auto"/>
          <w:sz w:val="24"/>
          <w:szCs w:val="24"/>
          <w:highlight w:val="none"/>
          <w:lang w:eastAsia="zh-CN"/>
        </w:rPr>
        <w:t xml:space="preserve">：</w:t>
      </w:r>
      <w:r/>
    </w:p>
    <w:p>
      <w:pPr>
        <w:ind w:firstLine="480"/>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tabs>
          <w:tab w:val="left" w:pos="567"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9、监狱企业</w:t>
      </w:r>
      <w:r>
        <w:rPr>
          <w:rFonts w:hint="eastAsia" w:ascii="宋体" w:hAnsi="宋体" w:cs="宋体"/>
          <w:color w:val="auto"/>
          <w:sz w:val="24"/>
          <w:szCs w:val="24"/>
          <w:highlight w:val="none"/>
          <w:lang w:eastAsia="zh-CN"/>
        </w:rPr>
        <w:t xml:space="preserve">：</w:t>
      </w:r>
      <w:r/>
    </w:p>
    <w:p>
      <w:pPr>
        <w:ind w:firstLine="480"/>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根据《关于政府采购支持监狱企业发展有关问题的通知》（财库〔2014〕68号）的相关规定</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2"/>
        <w:spacing w:line="360" w:lineRule="auto"/>
        <w:tabs>
          <w:tab w:val="left" w:pos="567"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10、若为专门面向中小企业采购的项目或者采购包，不再执行价格评审优惠的扶持政策。</w:t>
      </w:r>
      <w:r/>
    </w:p>
    <w:p>
      <w:pPr>
        <w:ind w:firstLine="482"/>
        <w:spacing w:line="360" w:lineRule="auto"/>
        <w:tabs>
          <w:tab w:val="left" w:pos="567"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（二）节能产品和环境标志产品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根据《关于调整优化节能产品、环境标志产品政府采购执行机制的通知》（财库〔2019〕9号）、《关于贯彻执行绿色采购、促进残疾人就业和支持监狱企业发展有关政策的通知》（苏财购〔2019〕10号）的规定：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若本次采购的产品属于财政部、国家发展改革委、生态环境部、市场监管总局等部门发布的节能产品、环境标志产品政府强制采购品目清单的，供应商须在响应文件中提供响应产品由认证机构出具的、处于有效期之内的节能产品、环境标志产品认证证书，未提供或提供不全的将视响应文件为未实质性响应采购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本次采购的产品属于财政部、国家发展改革委、生态环境部、市场监管总局等部门发布的节能产品、环境标志产品政府优先采购品目清单的，供应商在响应文件中提供响应产品由认证机构出具的、处于有效期之内的节能产品、环境标志产品认证证书，在综合得分和报价相同的情况下，提供所投产品</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节能产品、环境标志产品认证证书数量最多的，优先中标（成交）。</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四、凡涉及采购文件的补充说明和修改，均以苏州市政府采购网发布的文件为准。</w:t>
      </w:r>
      <w:r/>
    </w:p>
    <w:p>
      <w:pPr>
        <w:pStyle w:val="823"/>
        <w:jc w:val="center"/>
        <w:keepLines w:val="0"/>
        <w:keepNext w:val="0"/>
        <w:spacing w:line="579" w:lineRule="auto"/>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br w:type="page" w:clear="all"/>
      </w:r>
      <w:bookmarkStart w:id="50" w:name="_Toc17350"/>
      <w:r/>
      <w:bookmarkStart w:id="51" w:name="_Toc49246288"/>
      <w:r/>
      <w:r/>
    </w:p>
    <w:p>
      <w:pPr>
        <w:pStyle w:val="823"/>
        <w:jc w:val="center"/>
        <w:keepLines w:val="0"/>
        <w:keepNext w:val="0"/>
        <w:spacing w:line="579" w:lineRule="auto"/>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pStyle w:val="823"/>
        <w:jc w:val="center"/>
        <w:keepLines w:val="0"/>
        <w:keepNext w:val="0"/>
        <w:spacing w:line="579" w:lineRule="auto"/>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682"/>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682"/>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682"/>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682"/>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682"/>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jc w:val="center"/>
        <w:keepLines w:val="0"/>
        <w:keepNext w:val="0"/>
        <w:spacing w:line="579" w:lineRule="auto"/>
        <w:rPr>
          <w:rStyle w:val="749"/>
          <w:rFonts w:hint="eastAsia" w:ascii="宋体" w:hAnsi="宋体" w:eastAsia="宋体" w:cs="宋体"/>
          <w:color w:val="auto"/>
          <w:sz w:val="52"/>
          <w:highlight w:val="none"/>
        </w:rPr>
        <w:outlineLvl w:val="0"/>
      </w:pPr>
      <w:r/>
      <w:bookmarkStart w:id="52" w:name="_Toc11037"/>
      <w:r>
        <w:rPr>
          <w:rStyle w:val="749"/>
          <w:rFonts w:hint="eastAsia" w:ascii="宋体" w:hAnsi="宋体" w:eastAsia="宋体" w:cs="宋体"/>
          <w:color w:val="auto"/>
          <w:sz w:val="52"/>
          <w:highlight w:val="none"/>
        </w:rPr>
        <w:t xml:space="preserve">第五章 合同主要条款</w:t>
      </w:r>
      <w:bookmarkEnd w:id="50"/>
      <w:r/>
      <w:bookmarkEnd w:id="51"/>
      <w:r/>
      <w:bookmarkEnd w:id="52"/>
      <w:r/>
      <w:r/>
    </w:p>
    <w:p>
      <w:pPr>
        <w:jc w:val="center"/>
        <w:spacing w:line="360" w:lineRule="auto"/>
        <w:tabs>
          <w:tab w:val="left" w:pos="8930" w:leader="none"/>
          <w:tab w:val="left" w:pos="9306" w:leader="none"/>
        </w:tabs>
        <w:rPr>
          <w:rStyle w:val="810"/>
          <w:rFonts w:hint="eastAsia" w:ascii="宋体" w:hAnsi="宋体" w:eastAsia="宋体" w:cs="宋体"/>
          <w:b/>
          <w:bCs/>
          <w:color w:val="auto"/>
          <w:sz w:val="24"/>
          <w:szCs w:val="24"/>
          <w:highlight w:val="none"/>
        </w:rPr>
      </w:pPr>
      <w:r>
        <w:rPr>
          <w:rFonts w:hint="eastAsia" w:ascii="宋体" w:hAnsi="宋体" w:eastAsia="宋体" w:cs="宋体"/>
          <w:b/>
          <w:bCs/>
          <w:color w:val="auto"/>
          <w:szCs w:val="21"/>
          <w:highlight w:val="none"/>
        </w:rPr>
        <w:br w:type="page" w:clear="all"/>
      </w:r>
      <w:r>
        <w:rPr>
          <w:rFonts w:hint="eastAsia" w:ascii="宋体" w:hAnsi="宋体" w:eastAsia="宋体" w:cs="宋体"/>
          <w:b/>
          <w:color w:val="auto"/>
          <w:sz w:val="30"/>
          <w:szCs w:val="30"/>
          <w:highlight w:val="none"/>
        </w:rPr>
        <w:t xml:space="preserve">合同主要条款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建设工程施工合同</w:t>
      </w:r>
      <w:r/>
    </w:p>
    <w:p>
      <w:pPr>
        <w:pStyle w:val="689"/>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9"/>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color w:val="auto"/>
          <w:sz w:val="48"/>
          <w:szCs w:val="48"/>
          <w:highlight w:val="none"/>
        </w:rPr>
      </w:pPr>
      <w:r>
        <w:rPr>
          <w:rFonts w:hint="eastAsia" w:ascii="宋体" w:hAnsi="宋体" w:eastAsia="宋体" w:cs="宋体"/>
          <w:b/>
          <w:color w:val="auto"/>
          <w:sz w:val="48"/>
          <w:szCs w:val="48"/>
          <w:highlight w:val="none"/>
        </w:rPr>
        <w:t xml:space="preserve">（示范文本）</w:t>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适用范围：工程造价为政府采购限额以上、公开招标限额以下</w:t>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采购方式：政府采购（小额工程）</w:t>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资金来源：财政资金</w:t>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计价方式：固定综合单价</w:t>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合同版本号：SSTT004-GC-20210201</w:t>
      </w:r>
      <w:r/>
    </w:p>
    <w:p>
      <w:pPr>
        <w:jc w:val="left"/>
        <w:widowControl/>
        <w:rPr>
          <w:rFonts w:hint="eastAsia" w:ascii="宋体" w:hAnsi="宋体" w:eastAsia="宋体" w:cs="宋体"/>
          <w:b/>
          <w:color w:val="auto"/>
          <w:szCs w:val="22"/>
          <w:highlight w:val="none"/>
        </w:rPr>
      </w:pPr>
      <w:r>
        <w:rPr>
          <w:rFonts w:hint="eastAsia" w:ascii="宋体" w:hAnsi="宋体" w:eastAsia="宋体" w:cs="宋体"/>
          <w:b/>
          <w:color w:val="auto"/>
          <w:szCs w:val="22"/>
          <w:highlight w:val="none"/>
        </w:rPr>
      </w:r>
      <w:r/>
    </w:p>
    <w:p>
      <w:pPr>
        <w:rPr>
          <w:rFonts w:hint="eastAsia" w:ascii="宋体" w:hAnsi="宋体" w:eastAsia="宋体" w:cs="宋体"/>
          <w:b/>
          <w:color w:val="auto"/>
          <w:szCs w:val="22"/>
          <w:highlight w:val="none"/>
        </w:rPr>
      </w:pPr>
      <w:r>
        <w:rPr>
          <w:rFonts w:hint="eastAsia" w:ascii="宋体" w:hAnsi="宋体" w:eastAsia="宋体" w:cs="宋体"/>
          <w:b/>
          <w:color w:val="auto"/>
          <w:szCs w:val="22"/>
          <w:highlight w:val="none"/>
        </w:rPr>
        <w:br w:type="page" w:clear="all"/>
      </w:r>
      <w:r/>
    </w:p>
    <w:p>
      <w:pPr>
        <w:jc w:val="center"/>
        <w:spacing w:line="500" w:lineRule="exact"/>
        <w:rPr>
          <w:rFonts w:hint="eastAsia" w:ascii="宋体" w:hAnsi="宋体" w:eastAsia="宋体" w:cs="宋体"/>
          <w:b/>
          <w:bCs/>
          <w:color w:val="auto"/>
          <w:spacing w:val="80"/>
          <w:sz w:val="44"/>
          <w:szCs w:val="44"/>
          <w:highlight w:val="none"/>
        </w:rPr>
      </w:pPr>
      <w:r>
        <w:rPr>
          <w:rFonts w:hint="eastAsia" w:ascii="宋体" w:hAnsi="宋体" w:eastAsia="宋体" w:cs="宋体"/>
          <w:b/>
          <w:bCs/>
          <w:color w:val="auto"/>
          <w:spacing w:val="80"/>
          <w:sz w:val="44"/>
          <w:szCs w:val="44"/>
          <w:highlight w:val="none"/>
        </w:rPr>
        <w:t xml:space="preserve">建筑工程施工合同</w:t>
      </w:r>
      <w:r/>
    </w:p>
    <w:p>
      <w:pPr>
        <w:jc w:val="center"/>
        <w:spacing w:line="500" w:lineRule="exact"/>
        <w:rPr>
          <w:rFonts w:hint="eastAsia" w:ascii="宋体" w:hAnsi="宋体" w:eastAsia="宋体" w:cs="宋体"/>
          <w:b/>
          <w:bCs/>
          <w:color w:val="auto"/>
          <w:spacing w:val="80"/>
          <w:szCs w:val="21"/>
          <w:highlight w:val="none"/>
        </w:rPr>
      </w:pPr>
      <w:r>
        <w:rPr>
          <w:rFonts w:hint="eastAsia" w:ascii="宋体" w:hAnsi="宋体" w:eastAsia="宋体" w:cs="宋体"/>
          <w:b/>
          <w:bCs/>
          <w:color w:val="auto"/>
          <w:spacing w:val="80"/>
          <w:szCs w:val="21"/>
          <w:highlight w:val="none"/>
        </w:rPr>
      </w:r>
      <w:r/>
    </w:p>
    <w:p>
      <w:pPr>
        <w:ind w:left="1"/>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发  包  方：</w:t>
      </w:r>
      <w:r>
        <w:rPr>
          <w:rFonts w:hint="eastAsia" w:ascii="宋体" w:hAnsi="宋体" w:eastAsia="宋体" w:cs="宋体"/>
          <w:b/>
          <w:i/>
          <w:iCs/>
          <w:color w:val="auto"/>
          <w:szCs w:val="21"/>
          <w:highlight w:val="none"/>
          <w:u w:val="single"/>
        </w:rPr>
        <w:t xml:space="preserve"> 单击此处输入文字。 </w:t>
      </w:r>
      <w:r>
        <w:rPr>
          <w:rFonts w:hint="eastAsia" w:ascii="宋体" w:hAnsi="宋体" w:eastAsia="宋体" w:cs="宋体"/>
          <w:b/>
          <w:color w:val="auto"/>
          <w:szCs w:val="21"/>
          <w:highlight w:val="none"/>
        </w:rPr>
        <w:t xml:space="preserve">（以下简称“甲方”）</w:t>
      </w:r>
      <w:r/>
    </w:p>
    <w:p>
      <w:p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TW"/>
        </w:rPr>
        <w:t xml:space="preserve">地      址：</w:t>
      </w:r>
      <w:r>
        <w:rPr>
          <w:rFonts w:hint="eastAsia" w:ascii="宋体" w:hAnsi="宋体" w:eastAsia="宋体" w:cs="宋体"/>
          <w:b/>
          <w:i/>
          <w:iCs/>
          <w:color w:val="auto"/>
          <w:szCs w:val="21"/>
          <w:highlight w:val="none"/>
          <w:u w:val="single"/>
        </w:rPr>
        <w:t xml:space="preserve">单击此处输入文字。</w:t>
      </w:r>
      <w:r/>
    </w:p>
    <w:p>
      <w:p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TW"/>
        </w:rPr>
        <w:t xml:space="preserve">联  系  人：</w:t>
      </w:r>
      <w:r>
        <w:rPr>
          <w:rFonts w:hint="eastAsia" w:ascii="宋体" w:hAnsi="宋体" w:eastAsia="宋体" w:cs="宋体"/>
          <w:b/>
          <w:i/>
          <w:iCs/>
          <w:color w:val="auto"/>
          <w:szCs w:val="21"/>
          <w:highlight w:val="none"/>
          <w:u w:val="single"/>
        </w:rPr>
        <w:t xml:space="preserve"> 单击此处输入文字。 </w:t>
      </w:r>
      <w:r>
        <w:rPr>
          <w:rFonts w:hint="eastAsia" w:ascii="宋体" w:hAnsi="宋体" w:eastAsia="宋体" w:cs="宋体"/>
          <w:color w:val="auto"/>
          <w:szCs w:val="21"/>
          <w:highlight w:val="none"/>
          <w:lang w:eastAsia="zh-TW"/>
        </w:rPr>
        <w:t xml:space="preserve">联系电话：</w:t>
      </w:r>
      <w:r>
        <w:rPr>
          <w:rFonts w:hint="eastAsia" w:ascii="宋体" w:hAnsi="宋体" w:eastAsia="宋体" w:cs="宋体"/>
          <w:b/>
          <w:i/>
          <w:iCs/>
          <w:color w:val="auto"/>
          <w:szCs w:val="21"/>
          <w:highlight w:val="none"/>
          <w:u w:val="single"/>
        </w:rPr>
        <w:t xml:space="preserve"> 单击此处输入文字。 </w:t>
      </w:r>
      <w:r/>
    </w:p>
    <w:p>
      <w:pPr>
        <w:spacing w:line="400" w:lineRule="exact"/>
        <w:tabs>
          <w:tab w:val="left" w:pos="3780" w:leader="none"/>
        </w:tabs>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rPr>
        <w:t xml:space="preserve">承  包  方：</w:t>
      </w:r>
      <w:r>
        <w:rPr>
          <w:rFonts w:hint="eastAsia" w:ascii="宋体" w:hAnsi="宋体" w:eastAsia="宋体" w:cs="宋体"/>
          <w:b/>
          <w:i/>
          <w:iCs/>
          <w:color w:val="auto"/>
          <w:szCs w:val="21"/>
          <w:highlight w:val="none"/>
          <w:u w:val="single"/>
        </w:rPr>
        <w:t xml:space="preserve"> 单击此处输入文字。 </w:t>
      </w:r>
      <w:r>
        <w:rPr>
          <w:rFonts w:hint="eastAsia" w:ascii="宋体" w:hAnsi="宋体" w:eastAsia="宋体" w:cs="宋体"/>
          <w:b/>
          <w:color w:val="auto"/>
          <w:szCs w:val="21"/>
          <w:highlight w:val="none"/>
        </w:rPr>
        <w:t xml:space="preserve">（以下简称“乙方”）</w:t>
      </w:r>
      <w:r/>
    </w:p>
    <w:p>
      <w:p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TW"/>
        </w:rPr>
        <w:t xml:space="preserve">地      址：</w:t>
      </w:r>
      <w:r>
        <w:rPr>
          <w:rFonts w:hint="eastAsia" w:ascii="宋体" w:hAnsi="宋体" w:eastAsia="宋体" w:cs="宋体"/>
          <w:b/>
          <w:i/>
          <w:iCs/>
          <w:color w:val="auto"/>
          <w:szCs w:val="21"/>
          <w:highlight w:val="none"/>
          <w:u w:val="single"/>
        </w:rPr>
        <w:t xml:space="preserve"> 单击此处输入文字。 </w:t>
      </w:r>
      <w:r/>
    </w:p>
    <w:p>
      <w:p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TW"/>
        </w:rPr>
        <w:t xml:space="preserve">联  系  人：</w:t>
      </w:r>
      <w:r>
        <w:rPr>
          <w:rFonts w:hint="eastAsia" w:ascii="宋体" w:hAnsi="宋体" w:eastAsia="宋体" w:cs="宋体"/>
          <w:b/>
          <w:i/>
          <w:iCs/>
          <w:color w:val="auto"/>
          <w:szCs w:val="21"/>
          <w:highlight w:val="none"/>
          <w:u w:val="single"/>
        </w:rPr>
        <w:t xml:space="preserve"> 单击此处输入文字。 </w:t>
      </w:r>
      <w:r>
        <w:rPr>
          <w:rFonts w:hint="eastAsia" w:ascii="宋体" w:hAnsi="宋体" w:eastAsia="宋体" w:cs="宋体"/>
          <w:color w:val="auto"/>
          <w:szCs w:val="21"/>
          <w:highlight w:val="none"/>
          <w:lang w:eastAsia="zh-TW"/>
        </w:rPr>
        <w:t xml:space="preserve">联系电话：</w:t>
      </w:r>
      <w:r>
        <w:rPr>
          <w:rFonts w:hint="eastAsia" w:ascii="宋体" w:hAnsi="宋体" w:eastAsia="宋体" w:cs="宋体"/>
          <w:b/>
          <w:i/>
          <w:iCs/>
          <w:color w:val="auto"/>
          <w:szCs w:val="21"/>
          <w:highlight w:val="none"/>
          <w:u w:val="single"/>
        </w:rPr>
        <w:t xml:space="preserve"> 单击此处输入文字。 </w:t>
      </w:r>
      <w:r/>
    </w:p>
    <w:p>
      <w:pPr>
        <w:ind w:firstLine="48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w:t>
      </w:r>
      <w:r>
        <w:rPr>
          <w:rFonts w:hint="eastAsia" w:ascii="宋体" w:hAnsi="宋体" w:eastAsia="宋体" w:cs="宋体"/>
          <w:b/>
          <w:i/>
          <w:iCs/>
          <w:color w:val="auto"/>
          <w:szCs w:val="21"/>
          <w:highlight w:val="none"/>
          <w:u w:val="single"/>
        </w:rPr>
        <w:t xml:space="preserve"> 单击此处输入文字。 </w:t>
      </w:r>
      <w:r>
        <w:rPr>
          <w:rFonts w:hint="eastAsia" w:ascii="宋体" w:hAnsi="宋体" w:eastAsia="宋体" w:cs="宋体"/>
          <w:color w:val="auto"/>
          <w:szCs w:val="21"/>
          <w:highlight w:val="none"/>
        </w:rPr>
        <w:t xml:space="preserve">（招标代理机构）采购编号</w:t>
      </w:r>
      <w:r>
        <w:rPr>
          <w:rFonts w:hint="eastAsia" w:ascii="宋体" w:hAnsi="宋体" w:eastAsia="宋体" w:cs="宋体"/>
          <w:b/>
          <w:i/>
          <w:iCs/>
          <w:color w:val="auto"/>
          <w:szCs w:val="21"/>
          <w:highlight w:val="none"/>
          <w:u w:val="single"/>
        </w:rPr>
        <w:t xml:space="preserve"> 单击此处输入文字。 </w:t>
      </w:r>
      <w:r>
        <w:rPr>
          <w:rFonts w:hint="eastAsia" w:ascii="宋体" w:hAnsi="宋体" w:eastAsia="宋体" w:cs="宋体"/>
          <w:color w:val="auto"/>
          <w:szCs w:val="21"/>
          <w:highlight w:val="none"/>
        </w:rPr>
        <w:t xml:space="preserve">号政府采购文件及中标单位的响应文件和中标通知书，甲乙双方根据《中华人民共和国民法典》、《中华人民共和国政府采购法》及有关法律、法规的规定，遵循平等自愿、公平和诚实信用的原则，就</w:t>
      </w:r>
      <w:r>
        <w:rPr>
          <w:rFonts w:hint="eastAsia" w:ascii="宋体" w:hAnsi="宋体" w:eastAsia="宋体" w:cs="宋体"/>
          <w:b/>
          <w:i/>
          <w:iCs/>
          <w:color w:val="auto"/>
          <w:szCs w:val="21"/>
          <w:highlight w:val="none"/>
          <w:u w:val="single"/>
        </w:rPr>
        <w:t xml:space="preserve"> 单击此处输入文字。 </w:t>
      </w:r>
      <w:r>
        <w:rPr>
          <w:rFonts w:hint="eastAsia" w:ascii="宋体" w:hAnsi="宋体" w:eastAsia="宋体" w:cs="宋体"/>
          <w:color w:val="auto"/>
          <w:szCs w:val="21"/>
          <w:highlight w:val="none"/>
        </w:rPr>
        <w:t xml:space="preserve">工程施工及有关事项协商一致，共同达成如下协议：</w:t>
      </w:r>
      <w:r/>
    </w:p>
    <w:p>
      <w:pPr>
        <w:spacing w:before="93" w:after="93"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第一条  工程概况</w:t>
      </w:r>
      <w:r/>
    </w:p>
    <w:p>
      <w:pPr>
        <w:numPr>
          <w:ilvl w:val="0"/>
          <w:numId w:val="2"/>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工程名称：</w:t>
      </w:r>
      <w:r>
        <w:rPr>
          <w:rFonts w:hint="eastAsia" w:ascii="宋体" w:hAnsi="宋体" w:eastAsia="宋体" w:cs="宋体"/>
          <w:b/>
          <w:i/>
          <w:iCs/>
          <w:color w:val="auto"/>
          <w:szCs w:val="21"/>
          <w:highlight w:val="none"/>
          <w:u w:val="single"/>
        </w:rPr>
        <w:t xml:space="preserve"> 单击此处输入文字。 </w:t>
      </w:r>
      <w:r/>
    </w:p>
    <w:p>
      <w:pPr>
        <w:numPr>
          <w:ilvl w:val="0"/>
          <w:numId w:val="2"/>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工程地点：</w:t>
      </w:r>
      <w:r>
        <w:rPr>
          <w:rFonts w:hint="eastAsia" w:ascii="宋体" w:hAnsi="宋体" w:eastAsia="宋体" w:cs="宋体"/>
          <w:b/>
          <w:i/>
          <w:iCs/>
          <w:color w:val="auto"/>
          <w:szCs w:val="21"/>
          <w:highlight w:val="none"/>
          <w:u w:val="single"/>
        </w:rPr>
        <w:t xml:space="preserve"> 单击此处输入文字。 </w:t>
      </w:r>
      <w:r/>
    </w:p>
    <w:p>
      <w:pPr>
        <w:numPr>
          <w:ilvl w:val="0"/>
          <w:numId w:val="2"/>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工程内容：</w:t>
      </w:r>
      <w:r>
        <w:rPr>
          <w:rFonts w:hint="eastAsia" w:ascii="宋体" w:hAnsi="宋体" w:eastAsia="宋体" w:cs="宋体"/>
          <w:b/>
          <w:i/>
          <w:iCs/>
          <w:color w:val="auto"/>
          <w:szCs w:val="21"/>
          <w:highlight w:val="none"/>
          <w:u w:val="single"/>
        </w:rPr>
        <w:t xml:space="preserve"> 单击此处输入文字。 </w:t>
      </w:r>
      <w:r/>
    </w:p>
    <w:p>
      <w:pPr>
        <w:numPr>
          <w:ilvl w:val="0"/>
          <w:numId w:val="2"/>
        </w:numPr>
        <w:spacing w:line="400" w:lineRule="exact"/>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工程立项批准文号：</w:t>
      </w:r>
      <w:r>
        <w:rPr>
          <w:rFonts w:hint="eastAsia" w:ascii="宋体" w:hAnsi="宋体" w:eastAsia="宋体" w:cs="宋体"/>
          <w:b/>
          <w:i/>
          <w:iCs/>
          <w:color w:val="auto"/>
          <w:szCs w:val="21"/>
          <w:highlight w:val="none"/>
          <w:u w:val="single"/>
        </w:rPr>
        <w:t xml:space="preserve"> 单击此处输入文字。 </w:t>
      </w:r>
      <w:r/>
    </w:p>
    <w:p>
      <w:pPr>
        <w:numPr>
          <w:ilvl w:val="0"/>
          <w:numId w:val="2"/>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工程承包范围：</w:t>
      </w:r>
      <w:r>
        <w:rPr>
          <w:rFonts w:hint="eastAsia" w:ascii="宋体" w:hAnsi="宋体" w:eastAsia="宋体" w:cs="宋体"/>
          <w:b/>
          <w:i/>
          <w:iCs/>
          <w:color w:val="auto"/>
          <w:szCs w:val="21"/>
          <w:highlight w:val="none"/>
          <w:u w:val="single"/>
        </w:rPr>
        <w:t xml:space="preserve"> 单击此处输入文字。 </w:t>
      </w:r>
      <w:r/>
    </w:p>
    <w:p>
      <w:pPr>
        <w:numPr>
          <w:ilvl w:val="0"/>
          <w:numId w:val="2"/>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承包方式：</w:t>
      </w:r>
      <w:r>
        <w:rPr>
          <w:rFonts w:hint="eastAsia" w:ascii="宋体" w:hAnsi="宋体" w:eastAsia="宋体" w:cs="宋体"/>
          <w:b/>
          <w:i/>
          <w:iCs/>
          <w:color w:val="auto"/>
          <w:szCs w:val="21"/>
          <w:highlight w:val="none"/>
          <w:u w:val="single"/>
        </w:rPr>
        <w:t xml:space="preserve"> 单击此处输入文字。 </w:t>
      </w:r>
      <w:r/>
    </w:p>
    <w:p>
      <w:pPr>
        <w:spacing w:before="93" w:after="93"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第二条  甲乙双方的权利义务</w:t>
      </w:r>
      <w:r/>
    </w:p>
    <w:p>
      <w:pPr>
        <w:numPr>
          <w:ilvl w:val="0"/>
          <w:numId w:val="3"/>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甲方指派</w:t>
      </w:r>
      <w:r>
        <w:rPr>
          <w:rFonts w:hint="eastAsia" w:ascii="宋体" w:hAnsi="宋体" w:eastAsia="宋体" w:cs="宋体"/>
          <w:b/>
          <w:i/>
          <w:iCs/>
          <w:color w:val="auto"/>
          <w:szCs w:val="21"/>
          <w:highlight w:val="none"/>
          <w:u w:val="single"/>
        </w:rPr>
        <w:t xml:space="preserve"> 单击此处输入文字。 </w:t>
      </w:r>
      <w:r>
        <w:rPr>
          <w:rFonts w:hint="eastAsia" w:ascii="宋体" w:hAnsi="宋体" w:eastAsia="宋体" w:cs="宋体"/>
          <w:color w:val="auto"/>
          <w:szCs w:val="21"/>
          <w:highlight w:val="none"/>
        </w:rPr>
        <w:t xml:space="preserve">为甲方驻工地代表</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负责本合同的履行，对工程质量、进度进行监督检查</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办理验收、变更、登记手续和其他事宜。乙方指派</w:t>
      </w:r>
      <w:r>
        <w:rPr>
          <w:rFonts w:hint="eastAsia" w:ascii="宋体" w:hAnsi="宋体" w:eastAsia="宋体" w:cs="宋体"/>
          <w:b/>
          <w:i/>
          <w:iCs/>
          <w:color w:val="auto"/>
          <w:szCs w:val="21"/>
          <w:highlight w:val="none"/>
          <w:u w:val="single"/>
        </w:rPr>
        <w:t xml:space="preserve"> 单击此处输入文字。 </w:t>
      </w:r>
      <w:r>
        <w:rPr>
          <w:rFonts w:hint="eastAsia" w:ascii="宋体" w:hAnsi="宋体" w:eastAsia="宋体" w:cs="宋体"/>
          <w:color w:val="auto"/>
          <w:szCs w:val="21"/>
          <w:highlight w:val="none"/>
        </w:rPr>
        <w:t xml:space="preserve">为乙方驻工地代表</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负责合同履行，按要求组织施工</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保质、保量、按期完成施工任务</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解决由乙方负责的各项事宜。</w:t>
      </w:r>
      <w:r/>
    </w:p>
    <w:p>
      <w:pPr>
        <w:numPr>
          <w:ilvl w:val="0"/>
          <w:numId w:val="3"/>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施工过程中及保修期内，甲方有权对工程质量、施工进度等进行监督、检查。工程质量不符合合同要求的，无论是否实际移交，甲方均有权要求乙方返工或修复。</w:t>
      </w:r>
      <w:r/>
    </w:p>
    <w:p>
      <w:pPr>
        <w:numPr>
          <w:ilvl w:val="0"/>
          <w:numId w:val="3"/>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乙方应严格按照《工程量清单》及工程设计图纸等约定的工程项目明细进行施工。未经甲方书面同意，乙方不得擅自变更施工方案。</w:t>
      </w:r>
      <w:r/>
    </w:p>
    <w:p>
      <w:pPr>
        <w:numPr>
          <w:ilvl w:val="0"/>
          <w:numId w:val="3"/>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经甲方书面同意，乙方不得转包或分包本工程。如乙方不能完成本合同规定的责任和义务，或达不到质量标准，甲方有权责令返工直至达到质量要求或扣除相应款项另行选择施工队伍。如甲方另行选择施工队伍，并不因此免除乙方本应承担的违约责任。</w:t>
      </w:r>
      <w:r/>
    </w:p>
    <w:p>
      <w:pPr>
        <w:numPr>
          <w:ilvl w:val="0"/>
          <w:numId w:val="3"/>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乙方必须持续拥有实施本工程所应具备的资质。参加施工的人员必须经专业培训，持证上岗。</w:t>
      </w:r>
      <w:r/>
    </w:p>
    <w:p>
      <w:pPr>
        <w:numPr>
          <w:ilvl w:val="0"/>
          <w:numId w:val="3"/>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应严格遵守《中华人民共和国劳动法》、《中华人民共和国民法典》等法律法规的规定，如期、足额支付民工工资，若因乙方拖欠民工工资、材料商货款等原因导致民工或材料商上访、阻工、滋事的，甲方有权直接从工程款中扣留相应金额用于解决乙方拖欠的民工工资或材料商货款。</w:t>
      </w:r>
      <w:r/>
    </w:p>
    <w:p>
      <w:pPr>
        <w:numPr>
          <w:ilvl w:val="0"/>
          <w:numId w:val="3"/>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应加强安全文明施工管理，保持施工现场整洁，符合标准化管理要求，并在施工现场提供相应的安全装置、设备与保护器材以及其他有效措施，以保护现场施工人员的生命、健康及安全。对施工过程中造成本单位工作人员、甲方或任何第三方人身伤亡、财产损失的，由乙方承担全部经济赔偿责任及法律责任。若由此导致甲方先行对外垫付的，则甲方有权向乙方追偿并从工程款中直接扣除。</w:t>
      </w:r>
      <w:r/>
    </w:p>
    <w:p>
      <w:pPr>
        <w:numPr>
          <w:ilvl w:val="0"/>
          <w:numId w:val="3"/>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必须按照工程设计图纸和施工技术规范施工，不得擅自修改施工设计，不得偷工减料，不得使用不合格或质量低劣的材料、设备。乙方如发现工程设计图纸存在缺陷，应及时向甲方报告，必须变更的，按照本合同相关规定执行。未经甲方书面同意，乙方不得擅自因此停工或变更工程项目。</w:t>
      </w:r>
      <w:r/>
    </w:p>
    <w:p>
      <w:pPr>
        <w:numPr>
          <w:ilvl w:val="0"/>
          <w:numId w:val="3"/>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工程竣工未移交甲方之前，乙方负责对现场的一切设施和工程成品进行保护。</w:t>
      </w:r>
      <w:r/>
    </w:p>
    <w:p>
      <w:pPr>
        <w:spacing w:before="93" w:after="93"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第三条  关于工期的约定</w:t>
      </w:r>
      <w:r/>
    </w:p>
    <w:p>
      <w:pPr>
        <w:numPr>
          <w:ilvl w:val="0"/>
          <w:numId w:val="4"/>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本工程工期</w:t>
      </w:r>
      <w:r>
        <w:rPr>
          <w:rFonts w:hint="eastAsia" w:ascii="宋体" w:hAnsi="宋体" w:eastAsia="宋体" w:cs="宋体"/>
          <w:color w:val="auto"/>
          <w:szCs w:val="21"/>
          <w:highlight w:val="none"/>
          <w:u w:val="single"/>
        </w:rPr>
        <w:t xml:space="preserve"> </w:t>
      </w:r>
      <w:r>
        <w:rPr>
          <w:rFonts w:hint="eastAsia" w:ascii="宋体" w:hAnsi="宋体" w:eastAsia="宋体" w:cs="宋体"/>
          <w:b/>
          <w:bCs/>
          <w:i/>
          <w:iCs/>
          <w:color w:val="auto"/>
          <w:szCs w:val="21"/>
          <w:highlight w:val="none"/>
          <w:u w:val="single"/>
        </w:rPr>
        <w:t xml:space="preserve"> 单击此处输入文字。</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天。拟于</w:t>
      </w:r>
      <w:r>
        <w:rPr>
          <w:rFonts w:hint="eastAsia" w:ascii="宋体" w:hAnsi="宋体" w:eastAsia="宋体" w:cs="宋体"/>
          <w:b/>
          <w:bCs/>
          <w:i/>
          <w:iCs/>
          <w:color w:val="auto"/>
          <w:szCs w:val="21"/>
          <w:highlight w:val="none"/>
          <w:u w:val="single"/>
        </w:rPr>
        <w:t xml:space="preserve"> 单击此处输入日期。</w:t>
      </w:r>
      <w:r>
        <w:rPr>
          <w:rFonts w:hint="eastAsia" w:ascii="宋体" w:hAnsi="宋体" w:eastAsia="宋体" w:cs="宋体"/>
          <w:color w:val="auto"/>
          <w:szCs w:val="21"/>
          <w:highlight w:val="none"/>
        </w:rPr>
        <w:t xml:space="preserve">开工，</w:t>
      </w:r>
      <w:r>
        <w:rPr>
          <w:rFonts w:hint="eastAsia" w:ascii="宋体" w:hAnsi="宋体" w:eastAsia="宋体" w:cs="宋体"/>
          <w:b/>
          <w:bCs/>
          <w:i/>
          <w:iCs/>
          <w:color w:val="auto"/>
          <w:szCs w:val="21"/>
          <w:highlight w:val="none"/>
          <w:u w:val="single"/>
        </w:rPr>
        <w:t xml:space="preserve"> 单击此处输入日期。</w:t>
      </w:r>
      <w:r>
        <w:rPr>
          <w:rFonts w:hint="eastAsia" w:ascii="宋体" w:hAnsi="宋体" w:eastAsia="宋体" w:cs="宋体"/>
          <w:color w:val="auto"/>
          <w:szCs w:val="21"/>
          <w:highlight w:val="none"/>
        </w:rPr>
        <w:t xml:space="preserve">竣工，具体以甲方通知为准。</w:t>
      </w:r>
      <w:r/>
    </w:p>
    <w:p>
      <w:pPr>
        <w:numPr>
          <w:ilvl w:val="0"/>
          <w:numId w:val="4"/>
        </w:numPr>
        <w:spacing w:line="400" w:lineRule="exac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甲方要求比合同约定的工期提前竣工时，乙方应尊重甲方的要求并及时调整施工方案和进度，配合甲方工作的开展。</w:t>
      </w:r>
      <w:r/>
    </w:p>
    <w:p>
      <w:pPr>
        <w:numPr>
          <w:ilvl w:val="0"/>
          <w:numId w:val="4"/>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因乙方责任，不能按期开工或中途无故停工，影响工期的，工期不顺延且乙方应承担相应违约责任。但因设计变更或非乙方原因造成的停电、停水、停气及不可抗力因素影响，导致停工8小时以上(一周内累计计算)</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工期相应顺延。</w:t>
      </w:r>
      <w:r/>
    </w:p>
    <w:p>
      <w:pPr>
        <w:spacing w:before="93" w:after="93"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第四条 </w:t>
      </w:r>
      <w:r>
        <w:rPr>
          <w:rFonts w:hint="eastAsia" w:ascii="宋体" w:hAnsi="宋体" w:eastAsia="宋体" w:cs="宋体"/>
          <w:b/>
          <w:color w:val="auto"/>
          <w:szCs w:val="21"/>
          <w:highlight w:val="none"/>
          <w:lang w:val="en-US" w:eastAsia="zh-CN"/>
        </w:rPr>
        <w:t xml:space="preserve"> </w:t>
      </w:r>
      <w:r>
        <w:rPr>
          <w:rFonts w:hint="eastAsia" w:ascii="宋体" w:hAnsi="宋体" w:eastAsia="宋体" w:cs="宋体"/>
          <w:b/>
          <w:color w:val="auto"/>
          <w:szCs w:val="21"/>
          <w:highlight w:val="none"/>
        </w:rPr>
        <w:t xml:space="preserve">设计、变更</w:t>
      </w:r>
      <w:r/>
    </w:p>
    <w:p>
      <w:pPr>
        <w:numPr>
          <w:ilvl w:val="0"/>
          <w:numId w:val="5"/>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负责设计的一方应于开工7日前提供满足施工需要的设计图纸及技术文件送对方当事人审批，经对方当事人审批通过的设计图纸及技术资料作为本合同附件。</w:t>
      </w:r>
      <w:r/>
    </w:p>
    <w:p>
      <w:pPr>
        <w:numPr>
          <w:ilvl w:val="0"/>
          <w:numId w:val="5"/>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甲方要求变更设计时，应在该分部或分项工程施工3日前通知乙方。乙方应立即停止对涉及部分的施工及准备活动。如该工程已经完工，因设计变更造成乙方返工的损失，由甲方承担。</w:t>
      </w:r>
      <w:r/>
    </w:p>
    <w:p>
      <w:pPr>
        <w:numPr>
          <w:ilvl w:val="0"/>
          <w:numId w:val="5"/>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设计变更应由甲方代表办理洽商确认手续，乙方应相应变更施工进度计划，调整工程价款（如涉及），送甲方批准。</w:t>
      </w:r>
      <w:r/>
    </w:p>
    <w:p>
      <w:pPr>
        <w:numPr>
          <w:ilvl w:val="0"/>
          <w:numId w:val="5"/>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涉及设计变更的，设计图纸提供方应向对方提供变更设计图纸及材料样品或者明确的说明，用作计价及施工依据。</w:t>
      </w:r>
      <w:r/>
    </w:p>
    <w:p>
      <w:pPr>
        <w:spacing w:before="93" w:after="93"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第五条  材料供应</w:t>
      </w:r>
      <w:r/>
    </w:p>
    <w:p>
      <w:pPr>
        <w:numPr>
          <w:ilvl w:val="0"/>
          <w:numId w:val="6"/>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本工程为包工包料合同。施工所需的各项设施设备、主料、辅料等均有乙方自行采购和提供。</w:t>
      </w:r>
      <w:r/>
    </w:p>
    <w:p>
      <w:pPr>
        <w:numPr>
          <w:ilvl w:val="0"/>
          <w:numId w:val="6"/>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应按照双方约定及设计要求进行物料采购，并对其质量负责。乙方采购的原材料、成品、半成品，均需提供必要的有效证件、产品合格证、出厂证明、产品说明书及检测报告，部分材料还需提供环保检测证明及检测报告。乙方应在材料设备到货前24小时通知工程师清点，由监理工程师（如有）及甲方代表验收合格后方可使用。如甲方认为质量不符合要求，乙方必须无条件更换，直至满足甲方要求。</w:t>
      </w:r>
      <w:r/>
    </w:p>
    <w:p>
      <w:pPr>
        <w:spacing w:before="93" w:after="93"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第六条  关于工程质量及验收的约定</w:t>
      </w:r>
      <w:r/>
    </w:p>
    <w:p>
      <w:pPr>
        <w:numPr>
          <w:ilvl w:val="0"/>
          <w:numId w:val="7"/>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本工程以施工图纸、施工工艺说明、设计变更和《建筑装饰装修工程施工质量验收规范》(GB50210-2001)、《建筑工程施工质量验收统一标准》(GB50300-2013)等施工及验收规范</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标准为质量评定验收标准。</w:t>
      </w:r>
      <w:r/>
    </w:p>
    <w:p>
      <w:pPr>
        <w:numPr>
          <w:ilvl w:val="0"/>
          <w:numId w:val="7"/>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本工程质量应达到国家质量评定合格标准。</w:t>
      </w:r>
      <w:r/>
    </w:p>
    <w:p>
      <w:pPr>
        <w:numPr>
          <w:ilvl w:val="0"/>
          <w:numId w:val="7"/>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甲、乙双方应及时办理隐蔽工程和中间工程的检查与验收手续。隐蔽工程和中间工程未经甲方验收通过的，乙方不得擅自进入下一施工阶段。</w:t>
      </w:r>
      <w:r/>
    </w:p>
    <w:p>
      <w:pPr>
        <w:numPr>
          <w:ilvl w:val="0"/>
          <w:numId w:val="7"/>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工程竣工后具备竣工验收条件的，乙方应按国家竣工验收的有关规定通知甲方验收，甲方自接到通知后</w:t>
      </w:r>
      <w:r>
        <w:rPr>
          <w:rFonts w:hint="eastAsia" w:ascii="宋体" w:hAnsi="宋体" w:eastAsia="宋体" w:cs="宋体"/>
          <w:color w:val="auto"/>
          <w:szCs w:val="21"/>
          <w:highlight w:val="none"/>
          <w:u w:val="single"/>
        </w:rPr>
        <w:t xml:space="preserve">10</w:t>
      </w:r>
      <w:r>
        <w:rPr>
          <w:rFonts w:hint="eastAsia" w:ascii="宋体" w:hAnsi="宋体" w:eastAsia="宋体" w:cs="宋体"/>
          <w:color w:val="auto"/>
          <w:szCs w:val="21"/>
          <w:highlight w:val="none"/>
        </w:rPr>
        <w:t xml:space="preserve">日内组织验收，经验收合格后办理移交手续。在任何情况下，乙方不得以工程结算尚未完成等理由拒绝移交工程，否则，按照本合同第8.2条约定承担违约责任。</w:t>
      </w:r>
      <w:r/>
    </w:p>
    <w:p>
      <w:pPr>
        <w:numPr>
          <w:ilvl w:val="0"/>
          <w:numId w:val="7"/>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本工程缺陷责任期为</w:t>
      </w:r>
      <w:r>
        <w:rPr>
          <w:rFonts w:hint="eastAsia" w:ascii="宋体" w:hAnsi="宋体" w:eastAsia="宋体" w:cs="宋体"/>
          <w:b/>
          <w:i/>
          <w:iCs/>
          <w:color w:val="auto"/>
          <w:szCs w:val="21"/>
          <w:highlight w:val="none"/>
          <w:u w:val="single"/>
        </w:rPr>
        <w:t xml:space="preserve"> 单击此处输入文字。 </w:t>
      </w:r>
      <w:r>
        <w:rPr>
          <w:rFonts w:hint="eastAsia" w:ascii="宋体" w:hAnsi="宋体" w:eastAsia="宋体" w:cs="宋体"/>
          <w:color w:val="auto"/>
          <w:szCs w:val="21"/>
          <w:highlight w:val="none"/>
        </w:rPr>
        <w:t xml:space="preserve">年，质量保修期按照国家规定执行，均自工程竣工验收合格之日起算。工程质保金为竣工结算金额的</w:t>
      </w:r>
      <w:r>
        <w:rPr>
          <w:rFonts w:hint="eastAsia" w:ascii="宋体" w:hAnsi="宋体" w:eastAsia="宋体" w:cs="宋体"/>
          <w:b/>
          <w:bCs/>
          <w:color w:val="auto"/>
          <w:szCs w:val="21"/>
          <w:highlight w:val="none"/>
          <w:u w:val="single"/>
        </w:rPr>
        <w:t xml:space="preserve"> 3 %</w:t>
      </w:r>
      <w:r>
        <w:rPr>
          <w:rFonts w:hint="eastAsia" w:ascii="宋体" w:hAnsi="宋体" w:eastAsia="宋体" w:cs="宋体"/>
          <w:color w:val="auto"/>
          <w:szCs w:val="21"/>
          <w:highlight w:val="none"/>
        </w:rPr>
        <w:t xml:space="preserve">。保修期届满前，乙方须对工程进行全面检查，使本工程达到合同所要求的条件及甲方认为合格的程度。</w:t>
      </w:r>
      <w:r/>
    </w:p>
    <w:p>
      <w:pPr>
        <w:numPr>
          <w:ilvl w:val="0"/>
          <w:numId w:val="7"/>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保修期内乙方应对非甲方原因引起的工程质量问题承担保修责任，乙方须在接到甲方电话或书面通知后2日内赶到现场维修。紧急维修最迟应在24小时内到场抢修。如乙方未能在甲方规定的时间内及时到场抢修，或自接到保修通知之日起3日仍未给予回复，或连续2次维修仍未能解决问题、修补或消除缺陷的，甲方可自行或直接委托第三方进行维修，由此产生的全部费用（以造价咨询单位的审定金额为准）均由乙方承担，甲方可直接从工程尾款中扣除该等费用，同时该部分工程的保修期相应顺延。</w:t>
      </w:r>
      <w:r/>
    </w:p>
    <w:p>
      <w:pPr>
        <w:spacing w:before="93" w:after="93"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第七条  关于工程价款及结算的约定</w:t>
      </w:r>
      <w:r/>
    </w:p>
    <w:p>
      <w:pPr>
        <w:numPr>
          <w:ilvl w:val="0"/>
          <w:numId w:val="8"/>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本合同采用固定综合单价、工程量据实结算的方式。</w:t>
      </w:r>
      <w:r/>
    </w:p>
    <w:p>
      <w:pPr>
        <w:numPr>
          <w:ilvl w:val="0"/>
          <w:numId w:val="8"/>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本工程中标金额为人民币</w:t>
      </w:r>
      <w:r>
        <w:rPr>
          <w:rFonts w:hint="eastAsia" w:ascii="宋体" w:hAnsi="宋体" w:eastAsia="宋体" w:cs="宋体"/>
          <w:b/>
          <w:i/>
          <w:iCs/>
          <w:color w:val="auto"/>
          <w:szCs w:val="21"/>
          <w:highlight w:val="none"/>
          <w:u w:val="single"/>
        </w:rPr>
        <w:t xml:space="preserve"> 单击此处输入文字。 </w:t>
      </w:r>
      <w:r>
        <w:rPr>
          <w:rFonts w:hint="eastAsia" w:ascii="宋体" w:hAnsi="宋体" w:eastAsia="宋体" w:cs="宋体"/>
          <w:b/>
          <w:color w:val="auto"/>
          <w:szCs w:val="21"/>
          <w:highlight w:val="none"/>
          <w:u w:val="single"/>
        </w:rPr>
        <w:t xml:space="preserve">元</w:t>
      </w:r>
      <w:r>
        <w:rPr>
          <w:rFonts w:hint="eastAsia" w:ascii="宋体" w:hAnsi="宋体" w:eastAsia="宋体" w:cs="宋体"/>
          <w:color w:val="auto"/>
          <w:szCs w:val="21"/>
          <w:highlight w:val="none"/>
        </w:rPr>
        <w:t xml:space="preserve">（小写 ￥</w:t>
      </w:r>
      <w:r>
        <w:rPr>
          <w:rFonts w:hint="eastAsia" w:ascii="宋体" w:hAnsi="宋体" w:eastAsia="宋体" w:cs="宋体"/>
          <w:b/>
          <w:i/>
          <w:iCs/>
          <w:color w:val="auto"/>
          <w:szCs w:val="21"/>
          <w:highlight w:val="none"/>
          <w:u w:val="single"/>
        </w:rPr>
        <w:t xml:space="preserve"> 单击此处输入文字。 </w:t>
      </w:r>
      <w:r>
        <w:rPr>
          <w:rFonts w:hint="eastAsia" w:ascii="宋体" w:hAnsi="宋体" w:eastAsia="宋体" w:cs="宋体"/>
          <w:b/>
          <w:bCs/>
          <w:color w:val="auto"/>
          <w:szCs w:val="21"/>
          <w:highlight w:val="none"/>
          <w:u w:val="single"/>
        </w:rPr>
        <w:t xml:space="preserve">元</w:t>
      </w:r>
      <w:r>
        <w:rPr>
          <w:rFonts w:hint="eastAsia" w:ascii="宋体" w:hAnsi="宋体" w:eastAsia="宋体" w:cs="宋体"/>
          <w:color w:val="auto"/>
          <w:szCs w:val="21"/>
          <w:highlight w:val="none"/>
        </w:rPr>
        <w:t xml:space="preserve">），详见附件之报价单。甲乙双方最终以审定价结算。但因工程量偏差或工程变更而追加的费用不得超过中标金额的10%，超过部分甲方不予结算，且原中标金额10%以内的追加费用仅限于原合同内工程清单数量调整增加的工程费用，原合同外内容不计入。</w:t>
      </w:r>
      <w:r/>
    </w:p>
    <w:p>
      <w:pPr>
        <w:numPr>
          <w:ilvl w:val="0"/>
          <w:numId w:val="8"/>
        </w:numPr>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应在工程竣工验收合格后90天内按甲方要求提交完整的竣工结算申请资料。如无重大争议，甲方将在收到乙方提交的完整竣工结算申请资料后三个月内完成结算审核。如中介审核核减率超7%，超过部分的核减和核增的造价咨询费由乙方直接支付给咨询单位。</w:t>
      </w:r>
      <w:r/>
    </w:p>
    <w:p>
      <w:pPr>
        <w:numPr>
          <w:ilvl w:val="0"/>
          <w:numId w:val="8"/>
        </w:numPr>
        <w:jc w:val="left"/>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本工程无预付款。工程款按照以下第</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lang w:val="en-US" w:eastAsia="zh-CN"/>
        </w:rPr>
        <w:t xml:space="preserve">2</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种方式支付：</w:t>
      </w:r>
      <w:r/>
    </w:p>
    <w:p>
      <w:pPr>
        <w:numPr>
          <w:ilvl w:val="0"/>
          <w:numId w:val="9"/>
        </w:numPr>
        <w:jc w:val="left"/>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工程竣工验收合格且结算审核完成后60日内支付至审定价的97%，剩余3%的工程款作为质保金在缺陷责任期满后60日内一次性付清。</w:t>
      </w:r>
      <w:r/>
    </w:p>
    <w:p>
      <w:pPr>
        <w:numPr>
          <w:ilvl w:val="0"/>
          <w:numId w:val="9"/>
        </w:numPr>
        <w:jc w:val="left"/>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竣工验收合格并办理完成工程移交手续后60日内，支付至已完成的工程量清单范围内的合格工程量的70%；工程竣工结算审核完结后60日内，支付至审定价的80%；竣工验收合格满一年后60日内，支付至审定价的90%；缺陷责任期满后60日内付清尾款。</w:t>
      </w:r>
      <w:r/>
    </w:p>
    <w:p>
      <w:pPr>
        <w:numPr>
          <w:ilvl w:val="0"/>
          <w:numId w:val="9"/>
        </w:numPr>
        <w:jc w:val="left"/>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其他方式：</w:t>
      </w:r>
      <w:r>
        <w:rPr>
          <w:rFonts w:hint="eastAsia" w:ascii="宋体" w:hAnsi="宋体" w:eastAsia="宋体" w:cs="宋体"/>
          <w:b/>
          <w:i/>
          <w:iCs/>
          <w:color w:val="auto"/>
          <w:szCs w:val="21"/>
          <w:highlight w:val="none"/>
          <w:u w:val="single"/>
        </w:rPr>
        <w:t xml:space="preserve"> 单击此处输入文字。 </w:t>
      </w:r>
      <w:r/>
    </w:p>
    <w:p>
      <w:pPr>
        <w:numPr>
          <w:ilvl w:val="0"/>
          <w:numId w:val="8"/>
        </w:numPr>
        <w:jc w:val="left"/>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付款前，承包人应提供合法有效的增值税发票、付款申请以及按照本合同约定和发包人要求提供的其他文件，否则，发包人有权拒付。</w:t>
      </w:r>
      <w:r/>
    </w:p>
    <w:p>
      <w:pPr>
        <w:spacing w:before="93" w:after="93"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第八条  违约责任</w:t>
      </w:r>
      <w:r/>
    </w:p>
    <w:p>
      <w:pPr>
        <w:numPr>
          <w:ilvl w:val="0"/>
          <w:numId w:val="10"/>
        </w:numPr>
        <w:spacing w:before="93" w:after="93"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甲方无正当理由未按合同约定付款的</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每延期一天</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按逾期未付金额的万分之二支付违约金。</w:t>
      </w:r>
      <w:r/>
    </w:p>
    <w:p>
      <w:pPr>
        <w:numPr>
          <w:ilvl w:val="0"/>
          <w:numId w:val="10"/>
        </w:numPr>
        <w:spacing w:before="93" w:after="93"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由于乙方原因</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不能按期开工或中途无故停工或因工程质量问题甲方验收不合格的，工期不予顺延。同时，每逾期完工一天</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乙方应承担合同总价万分之二的违约金。如延误工期达10日以上的，甲方有权解除本合同，并要求乙方承担合同总价20%的违约金。</w:t>
      </w:r>
      <w:r/>
    </w:p>
    <w:p>
      <w:pPr>
        <w:numPr>
          <w:ilvl w:val="0"/>
          <w:numId w:val="10"/>
        </w:numPr>
        <w:spacing w:before="93" w:after="93"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质量未达到约定标准的，乙方应承担合同总价5%的违约金，并将工程修复至合同约定的质量标准，由此发生的全部费用由乙方自行承担，且工期不顺延。如乙方无法将工程修复至约定标准，甲方有权直接委托第三方进行修复，乙方除应承担违约金责任外，还需承担甲方另行委托第三方修复所产生的全部费用。</w:t>
      </w:r>
      <w:r/>
    </w:p>
    <w:p>
      <w:pPr>
        <w:numPr>
          <w:ilvl w:val="0"/>
          <w:numId w:val="10"/>
        </w:numPr>
        <w:spacing w:before="93" w:after="93"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如乙方发生人身安全事故、拖欠民工工资、擅自转包或分包、项目经理或主要负责人擅自离岗、拒不服从甲方指令、发生阻工闹事等情形之一的，乙方应向甲方支付合同总价5%的违约金。</w:t>
      </w:r>
      <w:r/>
    </w:p>
    <w:p>
      <w:pPr>
        <w:numPr>
          <w:ilvl w:val="0"/>
          <w:numId w:val="10"/>
        </w:numPr>
        <w:spacing w:before="93" w:after="93"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违反第7.3条约定，逾期提供竣工结算申请资料长达三个月的，或因逾期提供导致现场无法勘察的，甲方有权按照已有资料直接结算审核。同时，对乙方主张的任何异议一律拒绝。乙方对此不持任何异议并自行承担由此导致的工程款迟延支付等一切责任和损失。</w:t>
      </w:r>
      <w:r/>
    </w:p>
    <w:p>
      <w:pPr>
        <w:numPr>
          <w:ilvl w:val="0"/>
          <w:numId w:val="10"/>
        </w:numPr>
        <w:spacing w:before="93" w:after="93"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除本合同另有约定外，乙方违反本合同约定的，甲方有权发出通知要求乙方纠正。乙方收到通知后3日内未纠正的，应承担合同总金额2%的违约金。经甲方两次催告后仍未纠正的，甲方有权直接解除本合同。</w:t>
      </w:r>
      <w:r/>
    </w:p>
    <w:p>
      <w:pPr>
        <w:numPr>
          <w:ilvl w:val="0"/>
          <w:numId w:val="10"/>
        </w:numPr>
        <w:spacing w:before="93" w:after="93"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乙方违反本合同约定应向甲方支付的各项违约金、赔偿款等费用，甲方有权直接从应付工程款中扣除。</w:t>
      </w:r>
      <w:r/>
    </w:p>
    <w:p>
      <w:pPr>
        <w:spacing w:before="93" w:after="93"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第九条  不可抗力</w:t>
      </w:r>
      <w:r/>
    </w:p>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TW"/>
        </w:rPr>
        <w:t xml:space="preserve">因地震、台风、洪水、海啸、火灾、战争、暴乱、罢工及其他合同双方不能预见、不能避免并不能克服的客观情况导致本合同不能履行或不能完全履行时，遭遇上述不可抗力的一方，应立即将相应情况书面通知对方，并于七（7）天内提供不可抗力发生的详情及本合同不能履行、或者部分不能履行、或者需要延期履行的理由的有效证明文件。根据不可抗力事由对履行本合同影响的程度，由双方协商解除本合同，或者部分免除本合同的履行义务，或者延期履行本合同。</w:t>
      </w:r>
      <w:r/>
    </w:p>
    <w:p>
      <w:pPr>
        <w:spacing w:before="93" w:after="93"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第十条  通知和送达</w:t>
      </w:r>
      <w:r/>
    </w:p>
    <w:p>
      <w:pPr>
        <w:numPr>
          <w:ilvl w:val="0"/>
          <w:numId w:val="11"/>
        </w:numPr>
        <w:spacing w:line="400" w:lineRule="exact"/>
        <w:rPr>
          <w:rFonts w:hint="eastAsia" w:ascii="宋体" w:hAnsi="宋体" w:eastAsia="宋体" w:cs="宋体"/>
          <w:color w:val="auto"/>
          <w:szCs w:val="21"/>
          <w:highlight w:val="none"/>
          <w:lang w:eastAsia="zh-TW"/>
        </w:rPr>
      </w:pPr>
      <w:r>
        <w:rPr>
          <w:rFonts w:hint="eastAsia" w:ascii="宋体" w:hAnsi="宋体" w:eastAsia="宋体" w:cs="宋体"/>
          <w:color w:val="auto"/>
          <w:szCs w:val="21"/>
          <w:highlight w:val="none"/>
          <w:lang w:eastAsia="zh-TW"/>
        </w:rPr>
        <w:t xml:space="preserve">合同各方一致确认以下通讯地址和联系方式为各方履行合同、解决合同争议时向接收其他方商业文件信函或司法机关(法院、仲裁机构)诉讼、仲裁文书的送达地址和联系方式：</w:t>
      </w:r>
      <w:r/>
    </w:p>
    <w:p>
      <w:pPr>
        <w:ind w:left="420"/>
        <w:spacing w:line="400" w:lineRule="exact"/>
        <w:rPr>
          <w:rFonts w:hint="eastAsia" w:ascii="宋体" w:hAnsi="宋体" w:eastAsia="宋体" w:cs="宋体"/>
          <w:color w:val="auto"/>
          <w:szCs w:val="21"/>
          <w:highlight w:val="none"/>
          <w:lang w:eastAsia="zh-TW"/>
        </w:rPr>
      </w:pPr>
      <w:r>
        <w:rPr>
          <w:rFonts w:hint="eastAsia" w:ascii="宋体" w:hAnsi="宋体" w:eastAsia="宋体" w:cs="宋体"/>
          <w:color w:val="auto"/>
          <w:szCs w:val="21"/>
          <w:highlight w:val="none"/>
          <w:lang w:eastAsia="zh-TW"/>
        </w:rPr>
        <w:t xml:space="preserve">发包方送达地址和联系方式为：</w:t>
      </w:r>
      <w:r/>
    </w:p>
    <w:p>
      <w:pPr>
        <w:ind w:left="420"/>
        <w:spacing w:line="400" w:lineRule="exact"/>
        <w:rPr>
          <w:rFonts w:hint="eastAsia" w:ascii="宋体" w:hAnsi="宋体" w:eastAsia="宋体" w:cs="宋体"/>
          <w:color w:val="auto"/>
          <w:szCs w:val="21"/>
          <w:highlight w:val="none"/>
          <w:lang w:eastAsia="zh-TW"/>
        </w:rPr>
      </w:pPr>
      <w:r>
        <w:rPr>
          <w:rFonts w:hint="eastAsia" w:ascii="宋体" w:hAnsi="宋体" w:eastAsia="宋体" w:cs="宋体"/>
          <w:color w:val="auto"/>
          <w:szCs w:val="21"/>
          <w:highlight w:val="none"/>
          <w:lang w:eastAsia="zh-TW"/>
        </w:rPr>
        <w:t xml:space="preserve">地址：</w:t>
      </w:r>
      <w:r>
        <w:rPr>
          <w:rFonts w:hint="eastAsia" w:ascii="宋体" w:hAnsi="宋体" w:eastAsia="宋体" w:cs="宋体"/>
          <w:b/>
          <w:i/>
          <w:color w:val="auto"/>
          <w:szCs w:val="21"/>
          <w:highlight w:val="none"/>
          <w:u w:val="single"/>
        </w:rPr>
        <w:t xml:space="preserve"> 单击此处输入文字。 </w:t>
      </w:r>
      <w:r/>
    </w:p>
    <w:p>
      <w:pPr>
        <w:ind w:left="420"/>
        <w:spacing w:line="400" w:lineRule="exact"/>
        <w:rPr>
          <w:rFonts w:hint="eastAsia" w:ascii="宋体" w:hAnsi="宋体" w:eastAsia="宋体" w:cs="宋体"/>
          <w:b/>
          <w:i/>
          <w:color w:val="auto"/>
          <w:szCs w:val="21"/>
          <w:highlight w:val="none"/>
          <w:u w:val="single"/>
        </w:rPr>
      </w:pPr>
      <w:r>
        <w:rPr>
          <w:rFonts w:hint="eastAsia" w:ascii="宋体" w:hAnsi="宋体" w:eastAsia="宋体" w:cs="宋体"/>
          <w:color w:val="auto"/>
          <w:szCs w:val="21"/>
          <w:highlight w:val="none"/>
          <w:lang w:eastAsia="zh-TW"/>
        </w:rPr>
        <w:t xml:space="preserve">联系电话：</w:t>
      </w:r>
      <w:r>
        <w:rPr>
          <w:rFonts w:hint="eastAsia" w:ascii="宋体" w:hAnsi="宋体" w:eastAsia="宋体" w:cs="宋体"/>
          <w:b/>
          <w:i/>
          <w:color w:val="auto"/>
          <w:szCs w:val="21"/>
          <w:highlight w:val="none"/>
          <w:u w:val="single"/>
        </w:rPr>
        <w:t xml:space="preserve"> 单击此处输入文字。 </w:t>
      </w:r>
      <w:r>
        <w:rPr>
          <w:rFonts w:hint="eastAsia" w:ascii="宋体" w:hAnsi="宋体" w:eastAsia="宋体" w:cs="宋体"/>
          <w:color w:val="auto"/>
          <w:szCs w:val="21"/>
          <w:highlight w:val="none"/>
          <w:lang w:eastAsia="zh-TW"/>
        </w:rPr>
        <w:t xml:space="preserve"> 联系人：</w:t>
      </w:r>
      <w:r>
        <w:rPr>
          <w:rFonts w:hint="eastAsia" w:ascii="宋体" w:hAnsi="宋体" w:eastAsia="宋体" w:cs="宋体"/>
          <w:b/>
          <w:i/>
          <w:color w:val="auto"/>
          <w:szCs w:val="21"/>
          <w:highlight w:val="none"/>
          <w:u w:val="single"/>
        </w:rPr>
        <w:t xml:space="preserve"> 单击此处输入文字。 </w:t>
      </w:r>
      <w:r/>
    </w:p>
    <w:p>
      <w:pPr>
        <w:ind w:left="420"/>
        <w:spacing w:line="400" w:lineRule="exact"/>
        <w:rPr>
          <w:rFonts w:hint="eastAsia" w:ascii="宋体" w:hAnsi="宋体" w:eastAsia="宋体" w:cs="宋体"/>
          <w:color w:val="auto"/>
          <w:szCs w:val="21"/>
          <w:highlight w:val="none"/>
          <w:lang w:eastAsia="zh-TW"/>
        </w:rPr>
      </w:pPr>
      <w:r>
        <w:rPr>
          <w:rFonts w:hint="eastAsia" w:ascii="宋体" w:hAnsi="宋体" w:eastAsia="宋体" w:cs="宋体"/>
          <w:color w:val="auto"/>
          <w:szCs w:val="21"/>
          <w:highlight w:val="none"/>
          <w:lang w:eastAsia="zh-TW"/>
        </w:rPr>
        <w:t xml:space="preserve">承包方送达地址和联系方式为：</w:t>
      </w:r>
      <w:r/>
    </w:p>
    <w:p>
      <w:pPr>
        <w:ind w:left="420"/>
        <w:spacing w:line="400" w:lineRule="exact"/>
        <w:rPr>
          <w:rFonts w:hint="eastAsia" w:ascii="宋体" w:hAnsi="宋体" w:eastAsia="宋体" w:cs="宋体"/>
          <w:color w:val="auto"/>
          <w:szCs w:val="21"/>
          <w:highlight w:val="none"/>
          <w:lang w:eastAsia="zh-TW"/>
        </w:rPr>
      </w:pPr>
      <w:r>
        <w:rPr>
          <w:rFonts w:hint="eastAsia" w:ascii="宋体" w:hAnsi="宋体" w:eastAsia="宋体" w:cs="宋体"/>
          <w:color w:val="auto"/>
          <w:szCs w:val="21"/>
          <w:highlight w:val="none"/>
          <w:lang w:eastAsia="zh-TW"/>
        </w:rPr>
        <w:t xml:space="preserve">地址：</w:t>
      </w:r>
      <w:r>
        <w:rPr>
          <w:rFonts w:hint="eastAsia" w:ascii="宋体" w:hAnsi="宋体" w:eastAsia="宋体" w:cs="宋体"/>
          <w:b/>
          <w:i/>
          <w:color w:val="auto"/>
          <w:szCs w:val="21"/>
          <w:highlight w:val="none"/>
          <w:u w:val="single"/>
        </w:rPr>
        <w:t xml:space="preserve"> 单击此处输入文字。 </w:t>
      </w:r>
      <w:r/>
    </w:p>
    <w:p>
      <w:pPr>
        <w:ind w:left="420"/>
        <w:spacing w:line="400" w:lineRule="exact"/>
        <w:rPr>
          <w:rFonts w:hint="eastAsia" w:ascii="宋体" w:hAnsi="宋体" w:eastAsia="宋体" w:cs="宋体"/>
          <w:color w:val="auto"/>
          <w:szCs w:val="21"/>
          <w:highlight w:val="none"/>
          <w:lang w:eastAsia="zh-TW"/>
        </w:rPr>
      </w:pPr>
      <w:r>
        <w:rPr>
          <w:rFonts w:hint="eastAsia" w:ascii="宋体" w:hAnsi="宋体" w:eastAsia="宋体" w:cs="宋体"/>
          <w:color w:val="auto"/>
          <w:szCs w:val="21"/>
          <w:highlight w:val="none"/>
          <w:lang w:eastAsia="zh-TW"/>
        </w:rPr>
        <w:t xml:space="preserve">联系电话：</w:t>
      </w:r>
      <w:r>
        <w:rPr>
          <w:rFonts w:hint="eastAsia" w:ascii="宋体" w:hAnsi="宋体" w:eastAsia="宋体" w:cs="宋体"/>
          <w:b/>
          <w:i/>
          <w:color w:val="auto"/>
          <w:szCs w:val="21"/>
          <w:highlight w:val="none"/>
          <w:u w:val="single"/>
        </w:rPr>
        <w:t xml:space="preserve"> 单击此处输入文字。  </w:t>
      </w:r>
      <w:r>
        <w:rPr>
          <w:rFonts w:hint="eastAsia" w:ascii="宋体" w:hAnsi="宋体" w:eastAsia="宋体" w:cs="宋体"/>
          <w:color w:val="auto"/>
          <w:szCs w:val="21"/>
          <w:highlight w:val="none"/>
          <w:lang w:eastAsia="zh-TW"/>
        </w:rPr>
        <w:t xml:space="preserve">  联系人：</w:t>
      </w:r>
      <w:r>
        <w:rPr>
          <w:rFonts w:hint="eastAsia" w:ascii="宋体" w:hAnsi="宋体" w:eastAsia="宋体" w:cs="宋体"/>
          <w:b/>
          <w:i/>
          <w:color w:val="auto"/>
          <w:szCs w:val="21"/>
          <w:highlight w:val="none"/>
          <w:u w:val="single"/>
        </w:rPr>
        <w:t xml:space="preserve"> 单击此处输入文字。 </w:t>
      </w:r>
      <w:r/>
    </w:p>
    <w:p>
      <w:pPr>
        <w:ind w:left="420"/>
        <w:spacing w:line="400" w:lineRule="exact"/>
        <w:rPr>
          <w:rFonts w:hint="eastAsia" w:ascii="宋体" w:hAnsi="宋体" w:eastAsia="宋体" w:cs="宋体"/>
          <w:color w:val="auto"/>
          <w:szCs w:val="21"/>
          <w:highlight w:val="none"/>
          <w:lang w:eastAsia="zh-TW"/>
        </w:rPr>
      </w:pPr>
      <w:r>
        <w:rPr>
          <w:rFonts w:hint="eastAsia" w:ascii="宋体" w:hAnsi="宋体" w:eastAsia="宋体" w:cs="宋体"/>
          <w:color w:val="auto"/>
          <w:szCs w:val="21"/>
          <w:highlight w:val="none"/>
          <w:lang w:eastAsia="zh-TW"/>
        </w:rPr>
        <w:t xml:space="preserve">上述通讯地址和联系方式适用至本合同履行完毕或争议经过一审、二审至案件执行终结时止，除非各方依下款告知变更。</w:t>
      </w:r>
      <w:r/>
    </w:p>
    <w:p>
      <w:pPr>
        <w:numPr>
          <w:ilvl w:val="0"/>
          <w:numId w:val="11"/>
        </w:numPr>
        <w:spacing w:line="400" w:lineRule="exact"/>
        <w:rPr>
          <w:rFonts w:hint="eastAsia" w:ascii="宋体" w:hAnsi="宋体" w:eastAsia="宋体" w:cs="宋体"/>
          <w:color w:val="auto"/>
          <w:szCs w:val="21"/>
          <w:highlight w:val="none"/>
          <w:lang w:eastAsia="zh-TW"/>
        </w:rPr>
      </w:pPr>
      <w:r>
        <w:rPr>
          <w:rFonts w:hint="eastAsia" w:ascii="宋体" w:hAnsi="宋体" w:eastAsia="宋体" w:cs="宋体"/>
          <w:color w:val="auto"/>
          <w:szCs w:val="21"/>
          <w:highlight w:val="none"/>
          <w:lang w:eastAsia="zh-TW"/>
        </w:rPr>
        <w:t xml:space="preserve">任何一方通讯地址和联系方式需要变更的，应提前五个工作日向合同其他方和司法机关送交书面变更告知书(若争议已经进入司法程序解决)</w:t>
      </w:r>
      <w:r>
        <w:rPr>
          <w:rFonts w:hint="eastAsia" w:ascii="宋体" w:hAnsi="宋体" w:eastAsia="宋体" w:cs="宋体"/>
          <w:color w:val="auto"/>
          <w:szCs w:val="21"/>
          <w:highlight w:val="none"/>
        </w:rPr>
        <w:t xml:space="preserve">。</w:t>
      </w:r>
      <w:r/>
    </w:p>
    <w:p>
      <w:pPr>
        <w:numPr>
          <w:ilvl w:val="0"/>
          <w:numId w:val="11"/>
        </w:numPr>
        <w:spacing w:line="400" w:lineRule="exact"/>
        <w:rPr>
          <w:rFonts w:hint="eastAsia" w:ascii="宋体" w:hAnsi="宋体" w:eastAsia="宋体" w:cs="宋体"/>
          <w:color w:val="auto"/>
          <w:szCs w:val="21"/>
          <w:highlight w:val="none"/>
          <w:lang w:eastAsia="zh-TW"/>
        </w:rPr>
      </w:pPr>
      <w:r>
        <w:rPr>
          <w:rFonts w:hint="eastAsia" w:ascii="宋体" w:hAnsi="宋体" w:eastAsia="宋体" w:cs="宋体"/>
          <w:color w:val="auto"/>
          <w:szCs w:val="21"/>
          <w:highlight w:val="none"/>
          <w:lang w:eastAsia="zh-TW"/>
        </w:rPr>
        <w:t xml:space="preserve">合同各方均承诺：上述确认的通讯地址和联系方式真实有效，如有错误，导致的商业信函和诉讼文书送达不能的法律后果由自己承担。</w:t>
      </w:r>
      <w:r/>
    </w:p>
    <w:p>
      <w:pPr>
        <w:numPr>
          <w:ilvl w:val="0"/>
          <w:numId w:val="11"/>
        </w:numPr>
        <w:spacing w:line="400" w:lineRule="exact"/>
        <w:rPr>
          <w:rFonts w:hint="eastAsia" w:ascii="宋体" w:hAnsi="宋体" w:eastAsia="宋体" w:cs="宋体"/>
          <w:color w:val="auto"/>
          <w:szCs w:val="21"/>
          <w:highlight w:val="none"/>
          <w:lang w:eastAsia="zh-TW"/>
        </w:rPr>
      </w:pPr>
      <w:r>
        <w:rPr>
          <w:rFonts w:hint="eastAsia" w:ascii="宋体" w:hAnsi="宋体" w:eastAsia="宋体" w:cs="宋体"/>
          <w:color w:val="auto"/>
          <w:szCs w:val="21"/>
          <w:highlight w:val="none"/>
          <w:lang w:eastAsia="zh-TW"/>
        </w:rPr>
        <w:t xml:space="preserve">合同各方均明知：因各方提供或者确认的送达地址和联系方式不准确、或者送达地址变更后未及时依程序告知对方和司法机关、或者当事人和指定接收人拒绝签收等原因，导致诉讼文书未能被当事人实际接收，邮寄送达的，以文书退回之日视为送达之日；直接送达的，送达人当场在送达回证上记明情况之日视为送达之日。</w:t>
      </w:r>
      <w:r/>
    </w:p>
    <w:p>
      <w:pPr>
        <w:spacing w:before="93" w:after="93"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第十一条  纠纷解决</w:t>
      </w:r>
      <w:r/>
    </w:p>
    <w:p>
      <w:pPr>
        <w:spacing w:line="400" w:lineRule="exac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凡因本合同引起的或与本合同有关的任何纠纷，甲乙双方应友好协商解决；协商不成的，双方同意向工程所在地有管辖权的</w:t>
      </w:r>
      <w:r>
        <w:rPr>
          <w:rFonts w:hint="eastAsia" w:ascii="宋体" w:hAnsi="宋体" w:eastAsia="宋体" w:cs="宋体"/>
          <w:color w:val="auto"/>
          <w:szCs w:val="21"/>
          <w:highlight w:val="none"/>
          <w:lang w:eastAsia="zh-TW"/>
        </w:rPr>
        <w:t xml:space="preserve">人民法院提起诉讼</w:t>
      </w:r>
      <w:r>
        <w:rPr>
          <w:rFonts w:hint="eastAsia" w:ascii="宋体" w:hAnsi="宋体" w:eastAsia="宋体" w:cs="宋体"/>
          <w:color w:val="auto"/>
          <w:szCs w:val="21"/>
          <w:highlight w:val="none"/>
        </w:rPr>
        <w:t xml:space="preserve">。</w:t>
      </w:r>
      <w:r/>
    </w:p>
    <w:p>
      <w:pPr>
        <w:spacing w:before="93" w:after="93"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第十二条  其他</w:t>
      </w:r>
      <w:r/>
    </w:p>
    <w:p>
      <w:pPr>
        <w:numPr>
          <w:ilvl w:val="0"/>
          <w:numId w:val="12"/>
        </w:numPr>
        <w:jc w:val="left"/>
        <w:spacing w:line="400" w:lineRule="exact"/>
        <w:rPr>
          <w:rFonts w:hint="eastAsia" w:ascii="宋体" w:hAnsi="宋体" w:eastAsia="宋体" w:cs="宋体"/>
          <w:b/>
          <w:color w:val="auto"/>
          <w:szCs w:val="21"/>
          <w:highlight w:val="none"/>
          <w:lang w:eastAsia="zh-TW"/>
        </w:rPr>
      </w:pPr>
      <w:r>
        <w:rPr>
          <w:rFonts w:hint="eastAsia" w:ascii="宋体" w:hAnsi="宋体" w:eastAsia="宋体" w:cs="宋体"/>
          <w:color w:val="auto"/>
          <w:szCs w:val="21"/>
          <w:highlight w:val="none"/>
          <w:lang w:eastAsia="zh-TW"/>
        </w:rPr>
        <w:t xml:space="preserve">除本合同另有约定外，对本合同的任何修改、变更均须以书面形式作出并经双方确认，本合同中未经修改的其他条款仍然有效。</w:t>
      </w:r>
      <w:r/>
    </w:p>
    <w:p>
      <w:pPr>
        <w:numPr>
          <w:ilvl w:val="0"/>
          <w:numId w:val="12"/>
        </w:numPr>
        <w:jc w:val="left"/>
        <w:spacing w:line="400" w:lineRule="exact"/>
        <w:rPr>
          <w:rFonts w:hint="eastAsia" w:ascii="宋体" w:hAnsi="宋体" w:eastAsia="宋体" w:cs="宋体"/>
          <w:b/>
          <w:color w:val="auto"/>
          <w:szCs w:val="21"/>
          <w:highlight w:val="none"/>
          <w:lang w:eastAsia="zh-TW"/>
        </w:rPr>
      </w:pPr>
      <w:r>
        <w:rPr>
          <w:rFonts w:hint="eastAsia" w:ascii="宋体" w:hAnsi="宋体" w:eastAsia="宋体" w:cs="宋体"/>
          <w:color w:val="auto"/>
          <w:szCs w:val="21"/>
          <w:highlight w:val="none"/>
          <w:lang w:eastAsia="zh-TW"/>
        </w:rPr>
        <w:t xml:space="preserve">本合同未尽事宜，甲、乙双方应参照科技城的商业惯例或行业的交易习惯或相关规定执行，并另行签署补充协议</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TW"/>
        </w:rPr>
        <w:t xml:space="preserve">该补充协议作为本合同不可分割的一部分，与本合同具有同等法律效力。</w:t>
      </w:r>
      <w:r/>
    </w:p>
    <w:p>
      <w:pPr>
        <w:numPr>
          <w:ilvl w:val="0"/>
          <w:numId w:val="12"/>
        </w:numPr>
        <w:jc w:val="left"/>
        <w:spacing w:line="400" w:lineRule="exact"/>
        <w:rPr>
          <w:rFonts w:hint="eastAsia" w:ascii="宋体" w:hAnsi="宋体" w:eastAsia="宋体" w:cs="宋体"/>
          <w:b/>
          <w:color w:val="auto"/>
          <w:szCs w:val="21"/>
          <w:highlight w:val="none"/>
          <w:lang w:eastAsia="zh-TW"/>
        </w:rPr>
      </w:pPr>
      <w:r>
        <w:rPr>
          <w:rFonts w:hint="eastAsia" w:ascii="宋体" w:hAnsi="宋体" w:eastAsia="宋体" w:cs="宋体"/>
          <w:color w:val="auto"/>
          <w:szCs w:val="21"/>
          <w:highlight w:val="none"/>
        </w:rPr>
        <w:t xml:space="preserve">本合同履行过程中产生的纪要、协议以及中标通知书、采购响应文件和采购文件为本合同的附件，与合同具有同等效力。</w:t>
      </w:r>
      <w:r/>
    </w:p>
    <w:p>
      <w:pPr>
        <w:numPr>
          <w:ilvl w:val="0"/>
          <w:numId w:val="12"/>
        </w:numPr>
        <w:jc w:val="left"/>
        <w:spacing w:line="400" w:lineRule="exact"/>
        <w:rPr>
          <w:rFonts w:hint="eastAsia" w:ascii="宋体" w:hAnsi="宋体" w:eastAsia="宋体" w:cs="宋体"/>
          <w:color w:val="auto"/>
          <w:szCs w:val="21"/>
          <w:highlight w:val="none"/>
          <w:lang w:eastAsia="zh-TW"/>
        </w:rPr>
      </w:pPr>
      <w:r>
        <w:rPr>
          <w:rFonts w:hint="eastAsia" w:ascii="宋体" w:hAnsi="宋体" w:eastAsia="宋体" w:cs="宋体"/>
          <w:color w:val="auto"/>
          <w:szCs w:val="21"/>
          <w:highlight w:val="none"/>
          <w:lang w:eastAsia="zh-TW"/>
        </w:rPr>
        <w:t xml:space="preserve">本合同自甲乙双方签字</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TW"/>
        </w:rPr>
        <w:t xml:space="preserve">盖章</w:t>
      </w:r>
      <w:r>
        <w:rPr>
          <w:rFonts w:hint="eastAsia" w:ascii="宋体" w:hAnsi="宋体" w:cs="宋体"/>
          <w:color w:val="auto"/>
          <w:szCs w:val="21"/>
          <w:highlight w:val="none"/>
          <w:lang w:val="en-US" w:eastAsia="zh-CN"/>
        </w:rPr>
        <w:t xml:space="preserve">后生效。</w:t>
      </w:r>
      <w:r>
        <w:rPr>
          <w:rFonts w:hint="eastAsia" w:ascii="宋体" w:hAnsi="宋体" w:cs="宋体"/>
          <w:color w:val="auto"/>
          <w:sz w:val="21"/>
          <w:szCs w:val="21"/>
          <w:highlight w:val="none"/>
          <w:lang w:eastAsia="zh-TW"/>
        </w:rPr>
        <w:t xml:space="preserve">并按照相关规定及时在“苏采云”系统中备案。</w:t>
      </w:r>
      <w:r/>
    </w:p>
    <w:p>
      <w:pPr>
        <w:numPr>
          <w:ilvl w:val="0"/>
          <w:numId w:val="12"/>
        </w:numPr>
        <w:jc w:val="left"/>
        <w:spacing w:line="400" w:lineRule="exact"/>
        <w:rPr>
          <w:rFonts w:hint="eastAsia" w:ascii="宋体" w:hAnsi="宋体" w:eastAsia="宋体" w:cs="宋体"/>
          <w:color w:val="auto"/>
          <w:szCs w:val="21"/>
          <w:highlight w:val="none"/>
          <w:lang w:eastAsia="zh-TW"/>
        </w:rPr>
      </w:pPr>
      <w:r>
        <w:rPr>
          <w:rFonts w:hint="eastAsia" w:ascii="宋体" w:hAnsi="宋体" w:eastAsia="宋体" w:cs="宋体"/>
          <w:color w:val="auto"/>
          <w:szCs w:val="21"/>
          <w:highlight w:val="none"/>
        </w:rPr>
        <w:t xml:space="preserve">本合同</w:t>
      </w:r>
      <w:r>
        <w:rPr>
          <w:rFonts w:hint="eastAsia" w:ascii="宋体" w:hAnsi="宋体" w:eastAsia="宋体" w:cs="宋体"/>
          <w:color w:val="auto"/>
          <w:szCs w:val="21"/>
          <w:highlight w:val="none"/>
          <w:lang w:eastAsia="zh-TW"/>
        </w:rPr>
        <w:t xml:space="preserve">一式</w:t>
      </w:r>
      <w:r>
        <w:rPr>
          <w:rFonts w:hint="eastAsia" w:ascii="宋体" w:hAnsi="宋体" w:eastAsia="宋体" w:cs="宋体"/>
          <w:color w:val="auto"/>
          <w:szCs w:val="21"/>
          <w:highlight w:val="none"/>
          <w:u w:val="single"/>
          <w:lang w:eastAsia="zh-TW"/>
        </w:rPr>
        <w:t xml:space="preserve">  </w:t>
      </w:r>
      <w:r>
        <w:rPr>
          <w:rFonts w:hint="eastAsia" w:ascii="宋体" w:hAnsi="宋体" w:cs="宋体"/>
          <w:color w:val="auto"/>
          <w:szCs w:val="21"/>
          <w:highlight w:val="none"/>
          <w:u w:val="single"/>
          <w:lang w:val="en-US" w:eastAsia="zh-CN"/>
        </w:rPr>
        <w:t xml:space="preserve">柒</w:t>
      </w:r>
      <w:r>
        <w:rPr>
          <w:rFonts w:hint="eastAsia" w:ascii="宋体" w:hAnsi="宋体" w:eastAsia="宋体" w:cs="宋体"/>
          <w:color w:val="auto"/>
          <w:szCs w:val="21"/>
          <w:highlight w:val="none"/>
          <w:u w:val="single"/>
          <w:lang w:eastAsia="zh-TW"/>
        </w:rPr>
        <w:t xml:space="preserve">  </w:t>
      </w:r>
      <w:r>
        <w:rPr>
          <w:rFonts w:hint="eastAsia" w:ascii="宋体" w:hAnsi="宋体" w:eastAsia="宋体" w:cs="宋体"/>
          <w:color w:val="auto"/>
          <w:szCs w:val="21"/>
          <w:highlight w:val="none"/>
          <w:lang w:eastAsia="zh-TW"/>
        </w:rPr>
        <w:t xml:space="preserve">份，甲方执</w:t>
      </w:r>
      <w:r>
        <w:rPr>
          <w:rFonts w:hint="eastAsia" w:ascii="宋体" w:hAnsi="宋体" w:eastAsia="宋体" w:cs="宋体"/>
          <w:color w:val="auto"/>
          <w:szCs w:val="21"/>
          <w:highlight w:val="none"/>
          <w:u w:val="single"/>
          <w:lang w:eastAsia="zh-TW"/>
        </w:rPr>
        <w:t xml:space="preserve">  </w:t>
      </w:r>
      <w:r>
        <w:rPr>
          <w:rFonts w:hint="eastAsia" w:ascii="宋体" w:hAnsi="宋体" w:cs="宋体"/>
          <w:color w:val="auto"/>
          <w:szCs w:val="21"/>
          <w:highlight w:val="none"/>
          <w:u w:val="single"/>
          <w:lang w:val="en-US" w:eastAsia="zh-CN"/>
        </w:rPr>
        <w:t xml:space="preserve">叁</w:t>
      </w:r>
      <w:r>
        <w:rPr>
          <w:rFonts w:hint="eastAsia" w:ascii="宋体" w:hAnsi="宋体" w:eastAsia="宋体" w:cs="宋体"/>
          <w:color w:val="auto"/>
          <w:szCs w:val="21"/>
          <w:highlight w:val="none"/>
          <w:u w:val="single"/>
          <w:lang w:eastAsia="zh-TW"/>
        </w:rPr>
        <w:t xml:space="preserve">  </w:t>
      </w:r>
      <w:r>
        <w:rPr>
          <w:rFonts w:hint="eastAsia" w:ascii="宋体" w:hAnsi="宋体" w:eastAsia="宋体" w:cs="宋体"/>
          <w:color w:val="auto"/>
          <w:szCs w:val="21"/>
          <w:highlight w:val="none"/>
          <w:lang w:eastAsia="zh-TW"/>
        </w:rPr>
        <w:t xml:space="preserve">份，乙方执</w:t>
      </w:r>
      <w:r>
        <w:rPr>
          <w:rFonts w:hint="eastAsia" w:ascii="宋体" w:hAnsi="宋体" w:eastAsia="宋体" w:cs="宋体"/>
          <w:color w:val="auto"/>
          <w:szCs w:val="21"/>
          <w:highlight w:val="none"/>
          <w:u w:val="single"/>
          <w:lang w:eastAsia="zh-TW"/>
        </w:rPr>
        <w:t xml:space="preserve">  </w:t>
      </w:r>
      <w:r>
        <w:rPr>
          <w:rFonts w:hint="eastAsia" w:ascii="宋体" w:hAnsi="宋体" w:eastAsia="宋体" w:cs="宋体"/>
          <w:color w:val="auto"/>
          <w:szCs w:val="21"/>
          <w:highlight w:val="none"/>
          <w:u w:val="single"/>
        </w:rPr>
        <w:t xml:space="preserve">贰</w:t>
      </w:r>
      <w:r>
        <w:rPr>
          <w:rFonts w:hint="eastAsia" w:ascii="宋体" w:hAnsi="宋体" w:eastAsia="宋体" w:cs="宋体"/>
          <w:color w:val="auto"/>
          <w:szCs w:val="21"/>
          <w:highlight w:val="none"/>
          <w:u w:val="single"/>
          <w:lang w:eastAsia="zh-TW"/>
        </w:rPr>
        <w:t xml:space="preserve">  </w:t>
      </w:r>
      <w:r>
        <w:rPr>
          <w:rFonts w:hint="eastAsia" w:ascii="宋体" w:hAnsi="宋体" w:eastAsia="宋体" w:cs="宋体"/>
          <w:color w:val="auto"/>
          <w:szCs w:val="21"/>
          <w:highlight w:val="none"/>
          <w:lang w:eastAsia="zh-TW"/>
        </w:rPr>
        <w:t xml:space="preserve">份，</w:t>
      </w:r>
      <w:r>
        <w:rPr>
          <w:rFonts w:hint="eastAsia" w:ascii="宋体" w:hAnsi="宋体" w:eastAsia="宋体" w:cs="宋体"/>
          <w:color w:val="auto"/>
          <w:szCs w:val="21"/>
          <w:highlight w:val="none"/>
        </w:rPr>
        <w:t xml:space="preserve">招标代理机构一份，政府采购部门备案一份，</w:t>
      </w:r>
      <w:r>
        <w:rPr>
          <w:rFonts w:hint="eastAsia" w:ascii="宋体" w:hAnsi="宋体" w:eastAsia="宋体" w:cs="宋体"/>
          <w:color w:val="auto"/>
          <w:szCs w:val="21"/>
          <w:highlight w:val="none"/>
          <w:lang w:eastAsia="zh-TW"/>
        </w:rPr>
        <w:t xml:space="preserve">具有同等法律效力。</w:t>
      </w:r>
      <w:r/>
    </w:p>
    <w:p>
      <w:p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（以下无正文）</w:t>
      </w:r>
      <w:r/>
    </w:p>
    <w:tbl>
      <w:tblPr>
        <w:tblStyle w:val="681"/>
        <w:tblpPr w:horzAnchor="page" w:tblpX="1464" w:vertAnchor="text" w:tblpY="466" w:leftFromText="180" w:topFromText="0" w:rightFromText="180" w:bottomFromText="0"/>
        <w:tblW w:w="94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86"/>
        <w:gridCol w:w="4678"/>
      </w:tblGrid>
      <w:tr>
        <w:trPr>
          <w:trHeight w:val="3676"/>
        </w:trPr>
        <w:tc>
          <w:tcPr>
            <w:tcW w:w="4786" w:type="dxa"/>
            <w:vAlign w:val="center"/>
            <w:textDirection w:val="lrTb"/>
            <w:noWrap w:val="false"/>
          </w:tcPr>
          <w:p>
            <w:pPr>
              <w:rPr>
                <w:rFonts w:hint="eastAsia" w:ascii="宋体" w:hAnsi="宋体" w:eastAsia="宋体" w:cs="宋体"/>
                <w:color w:val="auto"/>
                <w:szCs w:val="21"/>
                <w:highlight w:val="none"/>
                <w:lang w:eastAsia="zh-TW"/>
              </w:rPr>
            </w:pPr>
            <w:r>
              <w:rPr>
                <w:rFonts w:hint="eastAsia" w:ascii="宋体" w:hAnsi="宋体" w:eastAsia="宋体" w:cs="宋体"/>
                <w:color w:val="auto"/>
                <w:szCs w:val="21"/>
                <w:highlight w:val="none"/>
                <w:lang w:eastAsia="zh-TW"/>
              </w:rPr>
              <w:t xml:space="preserve">甲方（盖章）：</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法定代表人（授权代表）：</w:t>
            </w:r>
            <w:r/>
          </w:p>
          <w:p>
            <w:pPr>
              <w:rPr>
                <w:rFonts w:hint="eastAsia" w:ascii="宋体" w:hAnsi="宋体" w:eastAsia="宋体" w:cs="宋体"/>
                <w:color w:val="auto"/>
                <w:szCs w:val="21"/>
                <w:highlight w:val="none"/>
                <w:lang w:eastAsia="zh-TW"/>
              </w:rPr>
            </w:pPr>
            <w:r>
              <w:rPr>
                <w:rFonts w:hint="eastAsia" w:ascii="宋体" w:hAnsi="宋体" w:eastAsia="宋体" w:cs="宋体"/>
                <w:color w:val="auto"/>
                <w:szCs w:val="21"/>
                <w:highlight w:val="none"/>
                <w:lang w:eastAsia="zh-TW"/>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lang w:eastAsia="zh-TW"/>
              </w:rPr>
            </w:pPr>
            <w:r>
              <w:rPr>
                <w:rFonts w:hint="eastAsia" w:ascii="宋体" w:hAnsi="宋体" w:eastAsia="宋体" w:cs="宋体"/>
                <w:color w:val="auto"/>
                <w:szCs w:val="21"/>
                <w:highlight w:val="none"/>
              </w:rPr>
              <w:t xml:space="preserve">经办人：</w:t>
            </w:r>
            <w:r/>
          </w:p>
          <w:p>
            <w:pPr>
              <w:rPr>
                <w:rFonts w:hint="eastAsia" w:ascii="宋体" w:hAnsi="宋体" w:eastAsia="宋体" w:cs="宋体"/>
                <w:color w:val="auto"/>
                <w:szCs w:val="21"/>
                <w:highlight w:val="none"/>
                <w:lang w:eastAsia="zh-TW"/>
              </w:rPr>
            </w:pPr>
            <w:r>
              <w:rPr>
                <w:rFonts w:hint="eastAsia" w:ascii="宋体" w:hAnsi="宋体" w:eastAsia="宋体" w:cs="宋体"/>
                <w:color w:val="auto"/>
                <w:szCs w:val="21"/>
                <w:highlight w:val="none"/>
                <w:lang w:eastAsia="zh-TW"/>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lang w:eastAsia="zh-TW"/>
              </w:rPr>
            </w:pPr>
            <w:r>
              <w:rPr>
                <w:rFonts w:hint="eastAsia" w:ascii="宋体" w:hAnsi="宋体" w:eastAsia="宋体" w:cs="宋体"/>
                <w:color w:val="auto"/>
                <w:szCs w:val="21"/>
                <w:highlight w:val="none"/>
              </w:rPr>
              <w:t xml:space="preserve">签署日期：</w:t>
            </w:r>
            <w:r/>
          </w:p>
        </w:tc>
        <w:tc>
          <w:tcPr>
            <w:tcW w:w="467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TW"/>
              </w:rPr>
              <w:t xml:space="preserve">乙方（盖章）：</w:t>
            </w:r>
            <w:r/>
          </w:p>
          <w:p>
            <w:pPr>
              <w:rPr>
                <w:rFonts w:hint="eastAsia" w:ascii="宋体" w:hAnsi="宋体" w:eastAsia="宋体" w:cs="宋体"/>
                <w:color w:val="auto"/>
                <w:szCs w:val="21"/>
                <w:highlight w:val="none"/>
                <w:lang w:eastAsia="zh-TW"/>
              </w:rPr>
            </w:pPr>
            <w:r>
              <w:rPr>
                <w:rFonts w:hint="eastAsia" w:ascii="宋体" w:hAnsi="宋体" w:eastAsia="宋体" w:cs="宋体"/>
                <w:color w:val="auto"/>
                <w:szCs w:val="21"/>
                <w:highlight w:val="none"/>
                <w:lang w:eastAsia="zh-TW"/>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法定代表人（授权代表）：</w:t>
            </w:r>
            <w:r/>
          </w:p>
          <w:p>
            <w:pPr>
              <w:rPr>
                <w:rFonts w:hint="eastAsia" w:ascii="宋体" w:hAnsi="宋体" w:eastAsia="宋体" w:cs="宋体"/>
                <w:color w:val="auto"/>
                <w:szCs w:val="21"/>
                <w:highlight w:val="none"/>
                <w:lang w:eastAsia="zh-TW"/>
              </w:rPr>
            </w:pPr>
            <w:r>
              <w:rPr>
                <w:rFonts w:hint="eastAsia" w:ascii="宋体" w:hAnsi="宋体" w:eastAsia="宋体" w:cs="宋体"/>
                <w:color w:val="auto"/>
                <w:szCs w:val="21"/>
                <w:highlight w:val="none"/>
                <w:lang w:eastAsia="zh-TW"/>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lang w:eastAsia="zh-TW"/>
              </w:rPr>
            </w:pPr>
            <w:r>
              <w:rPr>
                <w:rFonts w:hint="eastAsia" w:ascii="宋体" w:hAnsi="宋体" w:eastAsia="宋体" w:cs="宋体"/>
                <w:color w:val="auto"/>
                <w:szCs w:val="21"/>
                <w:highlight w:val="none"/>
              </w:rPr>
              <w:t xml:space="preserve">经办人：</w:t>
            </w:r>
            <w:r/>
          </w:p>
          <w:p>
            <w:pPr>
              <w:rPr>
                <w:rFonts w:hint="eastAsia" w:ascii="宋体" w:hAnsi="宋体" w:eastAsia="宋体" w:cs="宋体"/>
                <w:color w:val="auto"/>
                <w:szCs w:val="21"/>
                <w:highlight w:val="none"/>
                <w:lang w:eastAsia="zh-TW"/>
              </w:rPr>
            </w:pPr>
            <w:r>
              <w:rPr>
                <w:rFonts w:hint="eastAsia" w:ascii="宋体" w:hAnsi="宋体" w:eastAsia="宋体" w:cs="宋体"/>
                <w:color w:val="auto"/>
                <w:szCs w:val="21"/>
                <w:highlight w:val="none"/>
                <w:lang w:eastAsia="zh-TW"/>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签署日期：</w:t>
            </w:r>
            <w:r/>
          </w:p>
        </w:tc>
      </w:tr>
    </w:tbl>
    <w:p>
      <w:pP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政府采购合同信用融资政策告知函</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各政府采购供应商：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欢迎贵公司参加苏州市政府采购活动！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w:t>
      </w:r>
      <w:r>
        <w:rPr>
          <w:rFonts w:hint="eastAsia" w:ascii="宋体" w:hAnsi="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bidi="ar"/>
        </w:rPr>
        <w:t xml:space="preserve">中国人民银行南京分行《关于深入推进政府采购线上合同信用融资工作的通知》(苏财购[2021]82号)及苏州市财政局、人民银行苏州市分行相关文件要求，按照双方自愿的原则提供便捷、优惠的贷款服务。</w:t>
      </w:r>
      <w:r/>
    </w:p>
    <w:p>
      <w:pPr>
        <w:jc w:val="left"/>
        <w:rPr>
          <w:rFonts w:hint="eastAsia" w:ascii="宋体" w:hAnsi="宋体" w:eastAsia="宋体" w:cs="宋体"/>
          <w:b/>
          <w:bCs/>
          <w:color w:val="auto"/>
          <w:sz w:val="52"/>
          <w:szCs w:val="52"/>
          <w:highlight w:val="none"/>
        </w:rPr>
      </w:pPr>
      <w:r>
        <w:rPr>
          <w:rFonts w:hint="eastAsia" w:ascii="宋体" w:hAnsi="宋体" w:eastAsia="宋体" w:cs="宋体"/>
          <w:b/>
          <w:bCs/>
          <w:color w:val="auto"/>
          <w:szCs w:val="21"/>
          <w:highlight w:val="none"/>
        </w:rPr>
        <w:br w:type="page" w:clear="all"/>
      </w:r>
      <w:r/>
    </w:p>
    <w:p>
      <w:pPr>
        <w:ind w:firstLine="1044"/>
        <w:spacing w:line="360" w:lineRule="auto"/>
        <w:tabs>
          <w:tab w:val="left" w:pos="8930" w:leader="none"/>
          <w:tab w:val="left" w:pos="9306" w:leader="none"/>
        </w:tabs>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ind w:firstLine="1044"/>
        <w:spacing w:line="360" w:lineRule="auto"/>
        <w:tabs>
          <w:tab w:val="left" w:pos="8930" w:leader="none"/>
          <w:tab w:val="left" w:pos="9306" w:leader="none"/>
        </w:tabs>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ind w:firstLine="1044"/>
        <w:spacing w:line="360" w:lineRule="auto"/>
        <w:tabs>
          <w:tab w:val="left" w:pos="8930" w:leader="none"/>
          <w:tab w:val="left" w:pos="9306" w:leader="none"/>
        </w:tabs>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ind w:firstLine="1044"/>
        <w:spacing w:line="360" w:lineRule="auto"/>
        <w:tabs>
          <w:tab w:val="left" w:pos="8930" w:leader="none"/>
          <w:tab w:val="left" w:pos="9306" w:leader="none"/>
        </w:tabs>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pStyle w:val="682"/>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pStyle w:val="682"/>
        <w:ind w:left="0" w:firstLine="0"/>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pStyle w:val="682"/>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tabs>
          <w:tab w:val="left" w:pos="8930" w:leader="none"/>
          <w:tab w:val="left" w:pos="9306" w:leader="none"/>
        </w:tabs>
        <w:rPr>
          <w:rFonts w:hint="eastAsia" w:ascii="宋体" w:hAnsi="宋体" w:eastAsia="宋体" w:cs="宋体"/>
          <w:b/>
          <w:bCs/>
          <w:color w:val="auto"/>
          <w:sz w:val="52"/>
          <w:szCs w:val="52"/>
          <w:highlight w:val="none"/>
        </w:rPr>
        <w:outlineLvl w:val="0"/>
      </w:pPr>
      <w:r/>
      <w:bookmarkStart w:id="53" w:name="_Toc19"/>
      <w:r>
        <w:rPr>
          <w:rFonts w:hint="eastAsia" w:ascii="宋体" w:hAnsi="宋体" w:eastAsia="宋体" w:cs="宋体"/>
          <w:b/>
          <w:bCs/>
          <w:color w:val="auto"/>
          <w:sz w:val="52"/>
          <w:szCs w:val="52"/>
          <w:highlight w:val="none"/>
        </w:rPr>
        <w:t xml:space="preserve">第六章 评审办法及评分标准</w:t>
      </w:r>
      <w:bookmarkEnd w:id="53"/>
      <w:r/>
      <w:r/>
    </w:p>
    <w:p>
      <w:pPr>
        <w:ind w:firstLine="422"/>
        <w:spacing w:line="360" w:lineRule="auto"/>
        <w:tabs>
          <w:tab w:val="left" w:pos="8930" w:leader="none"/>
          <w:tab w:val="left" w:pos="9306" w:leader="none"/>
        </w:tabs>
        <w:rPr>
          <w:rFonts w:hint="eastAsia" w:ascii="宋体" w:hAnsi="宋体" w:eastAsia="宋体" w:cs="宋体"/>
          <w:b/>
          <w:color w:val="auto"/>
          <w:sz w:val="24"/>
          <w:szCs w:val="24"/>
          <w:highlight w:val="none"/>
        </w:rPr>
      </w:pPr>
      <w:r>
        <w:rPr>
          <w:rFonts w:hint="eastAsia" w:ascii="宋体" w:hAnsi="宋体" w:eastAsia="宋体" w:cs="宋体"/>
          <w:b/>
          <w:bCs/>
          <w:color w:val="auto"/>
          <w:szCs w:val="21"/>
          <w:highlight w:val="none"/>
        </w:rPr>
        <w:br w:type="page" w:clear="all"/>
      </w:r>
      <w:r>
        <w:rPr>
          <w:rFonts w:hint="eastAsia" w:ascii="宋体" w:hAnsi="宋体" w:eastAsia="宋体" w:cs="宋体"/>
          <w:b/>
          <w:color w:val="auto"/>
          <w:sz w:val="24"/>
          <w:szCs w:val="24"/>
          <w:highlight w:val="none"/>
        </w:rPr>
        <w:t xml:space="preserve">一、评审方法：</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1、本次评审采用综合评分法，</w:t>
      </w:r>
      <w:r>
        <w:rPr>
          <w:rFonts w:hint="eastAsia" w:ascii="宋体" w:hAnsi="宋体" w:eastAsia="宋体" w:cs="宋体"/>
          <w:color w:val="auto"/>
          <w:sz w:val="24"/>
          <w:szCs w:val="24"/>
          <w:highlight w:val="none"/>
          <w:lang w:val="zh-CN"/>
        </w:rPr>
        <w:t xml:space="preserve">即在响应文件满足采购文件全部实质性要求且按评审因素的量化指标评审得分最高的供应商为成交候选供应商。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审小组按照磋商文件中规定的评审标准和各项因素进行综合评审，按照评审得分由高到低顺序推荐3名成交候选供应商。评审得分相同的，按照最后报价由低到高的顺序推荐。评审得分且最后报价相同的，按照技术指标优劣顺序推荐。</w:t>
      </w:r>
      <w:r>
        <w:rPr>
          <w:rFonts w:hint="eastAsia" w:ascii="宋体" w:hAnsi="宋体" w:eastAsia="宋体" w:cs="宋体"/>
          <w:color w:val="auto"/>
          <w:sz w:val="24"/>
          <w:szCs w:val="24"/>
          <w:highlight w:val="none"/>
          <w:lang w:val="zh-CN"/>
        </w:rPr>
        <w:t xml:space="preserve">采购人书面授权磋商小组直接确定</w:t>
      </w:r>
      <w:r>
        <w:rPr>
          <w:rFonts w:hint="eastAsia" w:ascii="宋体" w:hAnsi="宋体" w:eastAsia="宋体" w:cs="宋体"/>
          <w:color w:val="auto"/>
          <w:sz w:val="24"/>
          <w:szCs w:val="24"/>
          <w:highlight w:val="none"/>
        </w:rPr>
        <w:t xml:space="preserve">成交候选供应商中的第一名作为成交供应商。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审时，评审小组各成员应当独立对每个有效响应文件进行评价、打分，然后汇总每个供应商每项评分因素的得分。将磋商小组各成员对响应文件的评审评分按算术平均法汇总，计算出每个供应商的得分（保留小数点后两位）。报价得分按文件规定的计算公式直接计算取得，技术得分和价格标得分相加即为供应商的总得分。</w:t>
      </w:r>
      <w:r/>
    </w:p>
    <w:p>
      <w:pPr>
        <w:ind w:firstLine="482"/>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二、评分标准：</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（一）价格分：</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0分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第一步：磋商报价低于或等于财政预算价格</w:t>
      </w:r>
      <w:r>
        <w:rPr>
          <w:rFonts w:hint="eastAsia" w:ascii="宋体" w:hAnsi="宋体" w:eastAsia="宋体" w:cs="宋体"/>
          <w:color w:val="auto"/>
          <w:sz w:val="24"/>
          <w:szCs w:val="24"/>
          <w:highlight w:val="none"/>
          <w:lang w:val="en-US" w:eastAsia="zh-CN"/>
        </w:rPr>
        <w:t xml:space="preserve">及最高限价</w:t>
      </w:r>
      <w:r>
        <w:rPr>
          <w:rFonts w:hint="eastAsia" w:ascii="宋体" w:hAnsi="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rPr>
        <w:t xml:space="preserve">的，为有效磋商报价。</w:t>
      </w:r>
      <w:r>
        <w:rPr>
          <w:rFonts w:hint="eastAsia" w:ascii="宋体" w:hAnsi="宋体" w:cs="宋体"/>
          <w:color w:val="auto"/>
          <w:sz w:val="24"/>
          <w:szCs w:val="24"/>
          <w:highlight w:val="none"/>
          <w:lang w:val="en-US" w:eastAsia="zh-CN"/>
        </w:rPr>
        <w:t xml:space="preserve">高于</w:t>
      </w:r>
      <w:r>
        <w:rPr>
          <w:rFonts w:hint="eastAsia" w:ascii="宋体" w:hAnsi="宋体" w:eastAsia="宋体" w:cs="宋体"/>
          <w:color w:val="auto"/>
          <w:sz w:val="24"/>
          <w:szCs w:val="24"/>
          <w:highlight w:val="none"/>
        </w:rPr>
        <w:t xml:space="preserve">财政预算</w:t>
      </w:r>
      <w:r>
        <w:rPr>
          <w:rFonts w:hint="eastAsia" w:ascii="宋体" w:hAnsi="宋体" w:eastAsia="宋体" w:cs="宋体"/>
          <w:color w:val="auto"/>
          <w:sz w:val="24"/>
          <w:szCs w:val="24"/>
          <w:highlight w:val="none"/>
          <w:lang w:val="en-US" w:eastAsia="zh-CN"/>
        </w:rPr>
        <w:t xml:space="preserve">及最高限价</w:t>
      </w:r>
      <w:r>
        <w:rPr>
          <w:rFonts w:hint="eastAsia" w:ascii="宋体" w:hAnsi="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rPr>
        <w:t xml:space="preserve">的磋商报价文件为未实质性响应文件，不参与评审。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第二步：在所有有效磋商报价中满足采购文件要求，且磋商价格最低的磋商报价为评审基准价，其价格分为</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0分，其他磋商供应商的价格分按照下列公式计算（计算结果四舍五入保留两位小数）：</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磋商报价得分＝（评标基准价/磋商报价）×</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0%×100。</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w:t>
      </w:r>
      <w:r>
        <w:rPr>
          <w:rFonts w:hint="eastAsia" w:ascii="宋体" w:hAnsi="宋体" w:eastAsia="宋体" w:cs="宋体"/>
          <w:b/>
          <w:bCs/>
          <w:color w:val="auto"/>
          <w:sz w:val="24"/>
          <w:highlight w:val="none"/>
          <w:lang w:val="en-US" w:eastAsia="zh-CN"/>
        </w:rPr>
        <w:t xml:space="preserve">施工</w:t>
      </w:r>
      <w:r>
        <w:rPr>
          <w:rFonts w:hint="eastAsia" w:ascii="宋体" w:hAnsi="宋体" w:eastAsia="宋体" w:cs="宋体"/>
          <w:b/>
          <w:bCs/>
          <w:color w:val="auto"/>
          <w:sz w:val="24"/>
          <w:highlight w:val="none"/>
        </w:rPr>
        <w:t xml:space="preserve">方案（技术部分）</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58</w:t>
      </w:r>
      <w:r>
        <w:rPr>
          <w:rFonts w:hint="eastAsia" w:ascii="宋体" w:hAnsi="宋体" w:eastAsia="宋体" w:cs="宋体"/>
          <w:b/>
          <w:bCs/>
          <w:color w:val="auto"/>
          <w:sz w:val="24"/>
          <w:szCs w:val="24"/>
          <w:highlight w:val="none"/>
        </w:rPr>
        <w:t xml:space="preserve">分</w:t>
      </w:r>
      <w:r/>
    </w:p>
    <w:tbl>
      <w:tblPr>
        <w:tblStyle w:val="6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6"/>
        <w:gridCol w:w="2067"/>
        <w:gridCol w:w="666"/>
        <w:gridCol w:w="5986"/>
      </w:tblGrid>
      <w:tr>
        <w:trPr>
          <w:jc w:val="center"/>
          <w:trHeight w:val="57"/>
        </w:trPr>
        <w:tc>
          <w:tcPr>
            <w:tcW w:w="59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2067"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评审因素</w:t>
            </w:r>
            <w:r/>
          </w:p>
        </w:tc>
        <w:tc>
          <w:tcPr>
            <w:tcW w:w="66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分值</w:t>
            </w:r>
            <w:r/>
          </w:p>
        </w:tc>
        <w:tc>
          <w:tcPr>
            <w:tcW w:w="598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评分标准</w:t>
            </w:r>
            <w:r/>
          </w:p>
        </w:tc>
      </w:tr>
      <w:tr>
        <w:trPr>
          <w:jc w:val="center"/>
          <w:trHeight w:val="90"/>
        </w:trPr>
        <w:tc>
          <w:tcPr>
            <w:tcW w:w="59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206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总体概述</w:t>
            </w:r>
            <w:r/>
          </w:p>
        </w:tc>
        <w:tc>
          <w:tcPr>
            <w:tcW w:w="66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W w:w="5986"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bidi="ar"/>
              </w:rPr>
              <w:t xml:space="preserve">综合评审工程概况、总体安排、施工部署及施工段划分的完整性、合理性、规范性。方案科学合理、规范全面、针对性强，得8分；方案较为合理、内容较完善、针对性较强，得5分；具备相关内容但不够全面，得2分；未提供相关描述不得分。</w:t>
            </w:r>
            <w:r/>
          </w:p>
        </w:tc>
      </w:tr>
      <w:tr>
        <w:trPr>
          <w:jc w:val="center"/>
          <w:trHeight w:val="57"/>
        </w:trPr>
        <w:tc>
          <w:tcPr>
            <w:tcW w:w="596"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W w:w="206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施工现场平面布置和临时设施、临时道路布置</w:t>
            </w:r>
            <w:r/>
          </w:p>
        </w:tc>
        <w:tc>
          <w:tcPr>
            <w:tcW w:w="666"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c>
          <w:tcPr>
            <w:tcW w:w="5986"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布置方案合理、可操作性强、内容详实完善，得</w:t>
            </w:r>
            <w:r>
              <w:rPr>
                <w:rFonts w:hint="eastAsia" w:ascii="宋体" w:hAnsi="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val="en-US" w:eastAsia="zh-CN" w:bidi="ar"/>
              </w:rPr>
              <w:t xml:space="preserve">分；布置基本合理、可操作性尚可、内容较简略，得</w:t>
            </w: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val="en-US" w:eastAsia="zh-CN" w:bidi="ar"/>
              </w:rPr>
              <w:t xml:space="preserve">分；布置简单、可操作性较差、内容偏少，得</w:t>
            </w: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分；未提供相关描述不得分。</w:t>
            </w:r>
            <w:r/>
          </w:p>
        </w:tc>
      </w:tr>
      <w:tr>
        <w:trPr>
          <w:jc w:val="center"/>
          <w:trHeight w:val="57"/>
        </w:trPr>
        <w:tc>
          <w:tcPr>
            <w:tcW w:w="59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W w:w="206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施工进度计划</w:t>
            </w:r>
            <w:r/>
          </w:p>
        </w:tc>
        <w:tc>
          <w:tcPr>
            <w:tcW w:w="66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W w:w="5986"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综合评审施工总进度计划和各阶段进度的合理性、规范性与针对性强。科学合理，规范全面、针对性强，得7分；较为科学合理、规范全面、针对性较强，得4分；涉及相关内容但不全面，得1分；</w:t>
            </w:r>
            <w:r>
              <w:rPr>
                <w:rFonts w:hint="default" w:ascii="宋体" w:hAnsi="宋体" w:eastAsia="宋体" w:cs="宋体"/>
                <w:color w:val="auto"/>
                <w:sz w:val="24"/>
                <w:szCs w:val="24"/>
                <w:highlight w:val="none"/>
                <w:lang w:val="en-US" w:eastAsia="zh-CN" w:bidi="ar"/>
              </w:rPr>
              <w:t xml:space="preserve">未提供相关描述不得分。</w:t>
            </w:r>
            <w:r/>
          </w:p>
        </w:tc>
      </w:tr>
      <w:tr>
        <w:trPr>
          <w:jc w:val="center"/>
          <w:trHeight w:val="57"/>
        </w:trPr>
        <w:tc>
          <w:tcPr>
            <w:tcW w:w="59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tcW w:w="2067" w:type="dxa"/>
            <w:vAlign w:val="center"/>
            <w:textDirection w:val="lrTb"/>
            <w:noWrap w:val="false"/>
          </w:tcPr>
          <w:p>
            <w:pPr>
              <w:jc w:val="center"/>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分部分项工程施工方案及技术措施</w:t>
            </w:r>
            <w:r/>
          </w:p>
        </w:tc>
        <w:tc>
          <w:tcPr>
            <w:tcW w:w="66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W w:w="5986"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综合评审施工方案的科学性、合理性、及技术措施的操作性与规范性。方案科学合理、措施规范可行、操作性强，得7分；方案较为科学合理，措施基本可行，得4分；涉及相关内容但不全面，得1分；</w:t>
            </w:r>
            <w:r>
              <w:rPr>
                <w:rFonts w:hint="default" w:ascii="宋体" w:hAnsi="宋体" w:eastAsia="宋体" w:cs="宋体"/>
                <w:color w:val="auto"/>
                <w:sz w:val="24"/>
                <w:szCs w:val="24"/>
                <w:highlight w:val="none"/>
                <w:lang w:val="en-US" w:eastAsia="zh-CN" w:bidi="ar"/>
              </w:rPr>
              <w:t xml:space="preserve">未提供相关描述不得分。</w:t>
            </w:r>
            <w:r/>
          </w:p>
        </w:tc>
      </w:tr>
      <w:tr>
        <w:trPr>
          <w:jc w:val="center"/>
          <w:trHeight w:val="57"/>
        </w:trPr>
        <w:tc>
          <w:tcPr>
            <w:tcW w:w="596"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p>
        </w:tc>
        <w:tc>
          <w:tcPr>
            <w:tcW w:w="2067"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安全文明施工</w:t>
            </w:r>
            <w:r>
              <w:rPr>
                <w:rFonts w:hint="eastAsia" w:ascii="宋体" w:hAnsi="宋体" w:eastAsia="宋体" w:cs="宋体"/>
                <w:color w:val="auto"/>
                <w:sz w:val="24"/>
                <w:szCs w:val="24"/>
                <w:highlight w:val="none"/>
                <w:lang w:val="en-US" w:eastAsia="zh-CN" w:bidi="ar"/>
              </w:rPr>
              <w:t xml:space="preserve">及环保</w:t>
            </w:r>
            <w:r>
              <w:rPr>
                <w:rFonts w:hint="eastAsia" w:ascii="宋体" w:hAnsi="宋体" w:eastAsia="宋体" w:cs="宋体"/>
                <w:color w:val="auto"/>
                <w:sz w:val="24"/>
                <w:szCs w:val="24"/>
                <w:highlight w:val="none"/>
                <w:lang w:bidi="ar"/>
              </w:rPr>
              <w:t xml:space="preserve">措施</w:t>
            </w:r>
            <w:r/>
          </w:p>
        </w:tc>
        <w:tc>
          <w:tcPr>
            <w:tcW w:w="66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6</w:t>
            </w:r>
            <w:r/>
          </w:p>
        </w:tc>
        <w:tc>
          <w:tcPr>
            <w:tcW w:w="5986"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综合评审安全文明施工及环境保护措施的科学性、合理性与操作性。措施科学合理、规范可行、操作性强，得6分；措施较为科学合理、规范可行、操作性较强，得4分；涉及相关内容但不全面，得2分；</w:t>
            </w:r>
            <w:r>
              <w:rPr>
                <w:rFonts w:hint="default" w:ascii="宋体" w:hAnsi="宋体" w:eastAsia="宋体" w:cs="宋体"/>
                <w:color w:val="auto"/>
                <w:sz w:val="24"/>
                <w:szCs w:val="24"/>
                <w:highlight w:val="none"/>
                <w:lang w:val="en-US" w:eastAsia="zh-CN" w:bidi="ar"/>
              </w:rPr>
              <w:t xml:space="preserve">未提供相关描述不得分。</w:t>
            </w:r>
            <w:r/>
          </w:p>
        </w:tc>
      </w:tr>
      <w:tr>
        <w:trPr>
          <w:jc w:val="center"/>
          <w:trHeight w:val="1129"/>
        </w:trPr>
        <w:tc>
          <w:tcPr>
            <w:tcW w:w="59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W w:w="2067"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各阶段质量保证措施</w:t>
            </w:r>
            <w:r/>
          </w:p>
        </w:tc>
        <w:tc>
          <w:tcPr>
            <w:tcW w:w="66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6</w:t>
            </w:r>
            <w:r/>
          </w:p>
        </w:tc>
        <w:tc>
          <w:tcPr>
            <w:tcW w:w="5986"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bidi="ar"/>
              </w:rPr>
              <w:suppressLineNumbers w:val="0"/>
            </w:pPr>
            <w:r>
              <w:rPr>
                <w:rFonts w:hint="default" w:ascii="宋体" w:hAnsi="宋体" w:eastAsia="宋体" w:cs="宋体"/>
                <w:color w:val="auto"/>
                <w:sz w:val="24"/>
                <w:szCs w:val="24"/>
                <w:highlight w:val="none"/>
                <w:lang w:val="en-US" w:eastAsia="zh-CN" w:bidi="ar"/>
              </w:rPr>
              <w:t xml:space="preserve">质量保障措施完善、可操作性强、内容详实，得6分；措施基本完善、内容较简单，得4分；措施简略、可操作性差，得2分；未提供相关描述不得分。</w:t>
            </w:r>
            <w:r/>
          </w:p>
        </w:tc>
      </w:tr>
      <w:tr>
        <w:trPr>
          <w:jc w:val="center"/>
          <w:trHeight w:val="57"/>
        </w:trPr>
        <w:tc>
          <w:tcPr>
            <w:tcW w:w="59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p>
        </w:tc>
        <w:tc>
          <w:tcPr>
            <w:tcW w:w="206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劳动力配备</w:t>
            </w:r>
            <w:r/>
          </w:p>
        </w:tc>
        <w:tc>
          <w:tcPr>
            <w:tcW w:w="66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5986"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bidi="ar"/>
              </w:rPr>
              <w:t xml:space="preserve">综合评审人员配置合规性、岗位职责分工、管理制度及保障方案。人员配置充足、分工清晰、管理制度规范、保障措施完善，得</w:t>
            </w:r>
            <w:r>
              <w:rPr>
                <w:rFonts w:hint="eastAsia" w:ascii="宋体" w:hAnsi="宋体" w:cs="宋体"/>
                <w:color w:val="auto"/>
                <w:sz w:val="24"/>
                <w:szCs w:val="24"/>
                <w:highlight w:val="none"/>
                <w:lang w:val="en-US" w:eastAsia="zh-CN" w:bidi="ar"/>
              </w:rPr>
              <w:t xml:space="preserve">5</w:t>
            </w:r>
            <w:r>
              <w:rPr>
                <w:rFonts w:hint="default" w:ascii="宋体" w:hAnsi="宋体" w:eastAsia="宋体" w:cs="宋体"/>
                <w:color w:val="auto"/>
                <w:sz w:val="24"/>
                <w:szCs w:val="24"/>
                <w:highlight w:val="none"/>
                <w:lang w:val="en-US" w:eastAsia="zh-CN" w:bidi="ar"/>
              </w:rPr>
              <w:t xml:space="preserve">分；人员满足要求、制度规范、保障措施略有不足，得</w:t>
            </w:r>
            <w:r>
              <w:rPr>
                <w:rFonts w:hint="eastAsia" w:ascii="宋体" w:hAnsi="宋体" w:cs="宋体"/>
                <w:color w:val="auto"/>
                <w:sz w:val="24"/>
                <w:szCs w:val="24"/>
                <w:highlight w:val="none"/>
                <w:lang w:val="en-US" w:eastAsia="zh-CN" w:bidi="ar"/>
              </w:rPr>
              <w:t xml:space="preserve">3</w:t>
            </w:r>
            <w:r>
              <w:rPr>
                <w:rFonts w:hint="default" w:ascii="宋体" w:hAnsi="宋体" w:eastAsia="宋体" w:cs="宋体"/>
                <w:color w:val="auto"/>
                <w:sz w:val="24"/>
                <w:szCs w:val="24"/>
                <w:highlight w:val="none"/>
                <w:lang w:val="en-US" w:eastAsia="zh-CN" w:bidi="ar"/>
              </w:rPr>
              <w:t xml:space="preserve">分；具备人员配置内容，但关键要素缺失，得</w:t>
            </w:r>
            <w:r>
              <w:rPr>
                <w:rFonts w:hint="eastAsia" w:ascii="宋体" w:hAnsi="宋体" w:cs="宋体"/>
                <w:color w:val="auto"/>
                <w:sz w:val="24"/>
                <w:szCs w:val="24"/>
                <w:highlight w:val="none"/>
                <w:lang w:val="en-US" w:eastAsia="zh-CN" w:bidi="ar"/>
              </w:rPr>
              <w:t xml:space="preserve">1</w:t>
            </w:r>
            <w:r>
              <w:rPr>
                <w:rFonts w:hint="default" w:ascii="宋体" w:hAnsi="宋体" w:eastAsia="宋体" w:cs="宋体"/>
                <w:color w:val="auto"/>
                <w:sz w:val="24"/>
                <w:szCs w:val="24"/>
                <w:highlight w:val="none"/>
                <w:lang w:val="en-US" w:eastAsia="zh-CN" w:bidi="ar"/>
              </w:rPr>
              <w:t xml:space="preserve">分；未提供相关描述不得分。</w:t>
            </w:r>
            <w:r/>
          </w:p>
        </w:tc>
      </w:tr>
      <w:tr>
        <w:trPr>
          <w:jc w:val="center"/>
          <w:trHeight w:val="57"/>
        </w:trPr>
        <w:tc>
          <w:tcPr>
            <w:tcW w:w="59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8</w:t>
            </w:r>
            <w:r/>
          </w:p>
        </w:tc>
        <w:tc>
          <w:tcPr>
            <w:tcW w:w="2067"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应急救援预案</w:t>
            </w:r>
            <w:r/>
          </w:p>
        </w:tc>
        <w:tc>
          <w:tcPr>
            <w:tcW w:w="66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6</w:t>
            </w:r>
            <w:r/>
          </w:p>
        </w:tc>
        <w:tc>
          <w:tcPr>
            <w:tcW w:w="5986"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综合评审施工区域危险应急响应预案的科学性、规范性、可操作性及内容详细度。预案科学合理、规范可行，可操作性强且内容描述详细，得6分；预案基本合理规范，可操作性一般且内容描述较简单，得4分；预案可操作性差，内容描述过于简略，得2分；</w:t>
            </w:r>
            <w:r>
              <w:rPr>
                <w:rFonts w:hint="default" w:ascii="宋体" w:hAnsi="宋体" w:eastAsia="宋体" w:cs="宋体"/>
                <w:color w:val="auto"/>
                <w:sz w:val="24"/>
                <w:szCs w:val="24"/>
                <w:highlight w:val="none"/>
                <w:lang w:val="en-US" w:eastAsia="zh-CN" w:bidi="ar"/>
              </w:rPr>
              <w:t xml:space="preserve">未提供相关描述不得分。</w:t>
            </w:r>
            <w:r/>
          </w:p>
        </w:tc>
      </w:tr>
      <w:tr>
        <w:trPr>
          <w:jc w:val="center"/>
          <w:trHeight w:val="57"/>
        </w:trPr>
        <w:tc>
          <w:tcPr>
            <w:tcW w:w="59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W w:w="20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bidi="ar-SA"/>
              </w:rPr>
              <w:t xml:space="preserve">多方综合协调方案</w:t>
            </w:r>
            <w:r/>
          </w:p>
        </w:tc>
        <w:tc>
          <w:tcPr>
            <w:tcW w:w="666"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p>
        </w:tc>
        <w:tc>
          <w:tcPr>
            <w:tcW w:w="5986"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bidi="ar"/>
              </w:rPr>
              <w:t xml:space="preserve">协调方案周全、逻辑清晰、可操作性强、内容详实，得</w:t>
            </w:r>
            <w:r>
              <w:rPr>
                <w:rFonts w:hint="eastAsia" w:ascii="宋体" w:hAnsi="宋体" w:cs="宋体"/>
                <w:color w:val="auto"/>
                <w:sz w:val="24"/>
                <w:szCs w:val="24"/>
                <w:highlight w:val="none"/>
                <w:lang w:val="en-US" w:eastAsia="zh-CN" w:bidi="ar"/>
              </w:rPr>
              <w:t xml:space="preserve">5</w:t>
            </w:r>
            <w:r>
              <w:rPr>
                <w:rFonts w:hint="default" w:ascii="宋体" w:hAnsi="宋体" w:eastAsia="宋体" w:cs="宋体"/>
                <w:color w:val="auto"/>
                <w:sz w:val="24"/>
                <w:szCs w:val="24"/>
                <w:highlight w:val="none"/>
                <w:lang w:val="en-US" w:eastAsia="zh-CN" w:bidi="ar"/>
              </w:rPr>
              <w:t xml:space="preserve">分；协调方案基本合理、内容较简单，得</w:t>
            </w:r>
            <w:r>
              <w:rPr>
                <w:rFonts w:hint="eastAsia" w:ascii="宋体" w:hAnsi="宋体" w:cs="宋体"/>
                <w:color w:val="auto"/>
                <w:sz w:val="24"/>
                <w:szCs w:val="24"/>
                <w:highlight w:val="none"/>
                <w:lang w:val="en-US" w:eastAsia="zh-CN" w:bidi="ar"/>
              </w:rPr>
              <w:t xml:space="preserve">3</w:t>
            </w:r>
            <w:r>
              <w:rPr>
                <w:rFonts w:hint="default" w:ascii="宋体" w:hAnsi="宋体" w:eastAsia="宋体" w:cs="宋体"/>
                <w:color w:val="auto"/>
                <w:sz w:val="24"/>
                <w:szCs w:val="24"/>
                <w:highlight w:val="none"/>
                <w:lang w:val="en-US" w:eastAsia="zh-CN" w:bidi="ar"/>
              </w:rPr>
              <w:t xml:space="preserve">分；方案内容简略、可操作性差，得1分；未提供相关描述不得分。</w:t>
            </w:r>
            <w:r/>
          </w:p>
        </w:tc>
      </w:tr>
    </w:tbl>
    <w:p>
      <w:pPr>
        <w:ind w:firstLine="482"/>
        <w:jc w:val="left"/>
        <w:keepNex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（三）商务部分：</w:t>
      </w:r>
      <w:r>
        <w:rPr>
          <w:rFonts w:hint="eastAsia" w:ascii="宋体" w:hAnsi="宋体" w:cs="宋体"/>
          <w:b/>
          <w:bCs/>
          <w:color w:val="auto"/>
          <w:sz w:val="24"/>
          <w:szCs w:val="24"/>
          <w:highlight w:val="none"/>
          <w:lang w:val="en-US" w:eastAsia="zh-CN"/>
        </w:rPr>
        <w:t xml:space="preserve">32</w:t>
      </w:r>
      <w:r>
        <w:rPr>
          <w:rFonts w:hint="eastAsia" w:ascii="宋体" w:hAnsi="宋体" w:eastAsia="宋体" w:cs="宋体"/>
          <w:b/>
          <w:bCs/>
          <w:color w:val="auto"/>
          <w:sz w:val="24"/>
          <w:szCs w:val="24"/>
          <w:highlight w:val="none"/>
        </w:rPr>
        <w:t xml:space="preserve">分</w:t>
      </w:r>
      <w:r/>
    </w:p>
    <w:tbl>
      <w:tblPr>
        <w:tblStyle w:val="6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1883"/>
        <w:gridCol w:w="817"/>
        <w:gridCol w:w="5964"/>
      </w:tblGrid>
      <w:tr>
        <w:trPr>
          <w:jc w:val="center"/>
          <w:trHeight w:val="57"/>
        </w:trPr>
        <w:tc>
          <w:tcPr>
            <w:tcW w:w="66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1883"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评审因素</w:t>
            </w:r>
            <w:r/>
          </w:p>
        </w:tc>
        <w:tc>
          <w:tcPr>
            <w:tcW w:w="817"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分值</w:t>
            </w:r>
            <w:r/>
          </w:p>
        </w:tc>
        <w:tc>
          <w:tcPr>
            <w:tcW w:w="5964"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评分标准</w:t>
            </w:r>
            <w:r/>
          </w:p>
        </w:tc>
      </w:tr>
      <w:tr>
        <w:trPr>
          <w:jc w:val="center"/>
          <w:trHeight w:val="57"/>
        </w:trPr>
        <w:tc>
          <w:tcPr>
            <w:tcW w:w="666"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c>
          <w:tcPr>
            <w:tcW w:w="1883"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 xml:space="preserve">特种作业操作证</w:t>
            </w:r>
            <w:r/>
          </w:p>
        </w:tc>
        <w:tc>
          <w:tcPr>
            <w:tcW w:w="817" w:type="dxa"/>
            <w:vAlign w:val="center"/>
            <w:textDirection w:val="lrTb"/>
            <w:noWrap w:val="false"/>
          </w:tcPr>
          <w:p>
            <w:pPr>
              <w:jc w:val="center"/>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w:t>
            </w:r>
            <w:r/>
          </w:p>
        </w:tc>
        <w:tc>
          <w:tcPr>
            <w:tcW w:w="5964" w:type="dxa"/>
            <w:vAlign w:val="center"/>
            <w:textDirection w:val="lrTb"/>
            <w:noWrap w:val="false"/>
          </w:tcPr>
          <w:p>
            <w:pPr>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在</w:t>
            </w:r>
            <w:r>
              <w:rPr>
                <w:rFonts w:hint="eastAsia" w:ascii="宋体" w:hAnsi="宋体" w:cs="宋体"/>
                <w:b w:val="0"/>
                <w:bCs w:val="0"/>
                <w:color w:val="auto"/>
                <w:sz w:val="24"/>
                <w:szCs w:val="24"/>
                <w:highlight w:val="none"/>
                <w:lang w:val="en-US" w:eastAsia="zh-CN"/>
              </w:rPr>
              <w:t xml:space="preserve">满足</w:t>
            </w:r>
            <w:r>
              <w:rPr>
                <w:rFonts w:hint="eastAsia" w:ascii="宋体" w:hAnsi="宋体" w:eastAsia="宋体" w:cs="宋体"/>
                <w:b w:val="0"/>
                <w:bCs w:val="0"/>
                <w:color w:val="auto"/>
                <w:sz w:val="24"/>
                <w:szCs w:val="24"/>
                <w:highlight w:val="none"/>
                <w:lang w:val="en-US" w:eastAsia="zh-CN"/>
              </w:rPr>
              <w:t xml:space="preserve">采购需求的基础上</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拟投入本项目人员</w:t>
            </w:r>
            <w:r>
              <w:rPr>
                <w:rFonts w:hint="eastAsia" w:ascii="宋体" w:hAnsi="宋体" w:cs="宋体"/>
                <w:b w:val="0"/>
                <w:bCs w:val="0"/>
                <w:color w:val="auto"/>
                <w:sz w:val="24"/>
                <w:szCs w:val="24"/>
                <w:highlight w:val="none"/>
                <w:lang w:val="en-US" w:eastAsia="zh-CN"/>
              </w:rPr>
              <w:t xml:space="preserve">中</w:t>
            </w:r>
            <w:r>
              <w:rPr>
                <w:rFonts w:hint="eastAsia" w:ascii="宋体" w:hAnsi="宋体" w:eastAsia="宋体" w:cs="宋体"/>
                <w:b w:val="0"/>
                <w:bCs w:val="0"/>
                <w:color w:val="auto"/>
                <w:sz w:val="24"/>
                <w:szCs w:val="24"/>
                <w:highlight w:val="none"/>
                <w:lang w:val="en-US" w:eastAsia="zh-CN"/>
              </w:rPr>
              <w:t xml:space="preserve">持有</w:t>
            </w:r>
            <w:r>
              <w:rPr>
                <w:rFonts w:hint="eastAsia" w:ascii="宋体" w:hAnsi="宋体" w:cs="宋体"/>
                <w:b w:val="0"/>
                <w:bCs w:val="0"/>
                <w:color w:val="auto"/>
                <w:sz w:val="24"/>
                <w:szCs w:val="24"/>
                <w:highlight w:val="none"/>
                <w:lang w:val="en-US" w:eastAsia="zh-CN"/>
              </w:rPr>
              <w:t xml:space="preserve">行政主管部门核发的</w:t>
            </w:r>
            <w:r>
              <w:rPr>
                <w:rFonts w:hint="eastAsia" w:ascii="宋体" w:hAnsi="宋体" w:eastAsia="宋体" w:cs="宋体"/>
                <w:b w:val="0"/>
                <w:bCs w:val="0"/>
                <w:color w:val="auto"/>
                <w:sz w:val="24"/>
                <w:szCs w:val="24"/>
                <w:highlight w:val="none"/>
                <w:lang w:val="en-US" w:eastAsia="zh-CN"/>
              </w:rPr>
              <w:t xml:space="preserve">有效</w:t>
            </w:r>
            <w:r>
              <w:rPr>
                <w:rFonts w:hint="eastAsia" w:ascii="宋体" w:hAnsi="宋体" w:eastAsia="宋体" w:cs="宋体"/>
                <w:color w:val="auto"/>
                <w:sz w:val="24"/>
                <w:szCs w:val="24"/>
                <w:highlight w:val="none"/>
              </w:rPr>
              <w:t xml:space="preserve">特种作业操作证（</w:t>
            </w:r>
            <w:r>
              <w:rPr>
                <w:rFonts w:hint="eastAsia" w:ascii="宋体" w:hAnsi="宋体" w:cs="宋体"/>
                <w:color w:val="auto"/>
                <w:sz w:val="24"/>
                <w:szCs w:val="24"/>
                <w:highlight w:val="none"/>
                <w:lang w:val="en-US" w:eastAsia="zh-CN"/>
              </w:rPr>
              <w:t xml:space="preserve">同时持有</w:t>
            </w:r>
            <w:r>
              <w:rPr>
                <w:rFonts w:hint="eastAsia" w:ascii="宋体" w:hAnsi="宋体" w:eastAsia="宋体" w:cs="宋体"/>
                <w:color w:val="auto"/>
                <w:sz w:val="24"/>
                <w:szCs w:val="24"/>
                <w:highlight w:val="none"/>
                <w:lang w:val="en-US" w:eastAsia="zh-CN"/>
              </w:rPr>
              <w:t xml:space="preserve">高处作业、电工作业</w:t>
            </w:r>
            <w:r>
              <w:rPr>
                <w:rFonts w:hint="eastAsia"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，每增加1名合格人员得2分，最高得10分。</w:t>
            </w:r>
            <w:r/>
          </w:p>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w:t>
            </w:r>
            <w:r>
              <w:rPr>
                <w:rFonts w:hint="eastAsia" w:ascii="宋体" w:hAnsi="宋体" w:eastAsia="宋体" w:cs="宋体"/>
                <w:b w:val="0"/>
                <w:bCs w:val="0"/>
                <w:color w:val="auto"/>
                <w:sz w:val="24"/>
                <w:szCs w:val="24"/>
                <w:highlight w:val="none"/>
                <w:lang w:val="en-US" w:eastAsia="zh-CN"/>
              </w:rPr>
              <w:t xml:space="preserve">响应文件中</w:t>
            </w:r>
            <w:r>
              <w:rPr>
                <w:rFonts w:hint="eastAsia" w:ascii="宋体" w:hAnsi="宋体" w:eastAsia="宋体" w:cs="宋体"/>
                <w:b w:val="0"/>
                <w:bCs w:val="0"/>
                <w:color w:val="auto"/>
                <w:sz w:val="24"/>
                <w:szCs w:val="24"/>
                <w:highlight w:val="none"/>
              </w:rPr>
              <w:t xml:space="preserve">提供</w:t>
            </w:r>
            <w:r>
              <w:rPr>
                <w:rFonts w:hint="eastAsia" w:ascii="宋体" w:hAnsi="宋体" w:eastAsia="宋体" w:cs="宋体"/>
                <w:b w:val="0"/>
                <w:bCs w:val="0"/>
                <w:color w:val="auto"/>
                <w:sz w:val="24"/>
                <w:szCs w:val="24"/>
                <w:highlight w:val="none"/>
                <w:lang w:val="en-US" w:eastAsia="zh-CN"/>
              </w:rPr>
              <w:t xml:space="preserve">有效证书及</w:t>
            </w:r>
            <w:r>
              <w:rPr>
                <w:rFonts w:hint="eastAsia" w:ascii="宋体" w:hAnsi="宋体" w:eastAsia="宋体" w:cs="宋体"/>
                <w:b w:val="0"/>
                <w:bCs w:val="0"/>
                <w:color w:val="auto"/>
                <w:sz w:val="24"/>
                <w:szCs w:val="24"/>
                <w:highlight w:val="none"/>
              </w:rPr>
              <w:t xml:space="preserve">供应商为其缴纳</w:t>
            </w:r>
            <w:r>
              <w:rPr>
                <w:rFonts w:hint="eastAsia" w:ascii="宋体" w:hAnsi="宋体" w:cs="宋体"/>
                <w:b w:val="0"/>
                <w:bCs w:val="0"/>
                <w:color w:val="auto"/>
                <w:sz w:val="24"/>
                <w:szCs w:val="24"/>
                <w:highlight w:val="none"/>
                <w:lang w:eastAsia="zh-CN"/>
              </w:rPr>
              <w:t xml:space="preserve">的</w:t>
            </w:r>
            <w:r>
              <w:rPr>
                <w:rFonts w:hint="eastAsia" w:ascii="宋体" w:hAnsi="宋体" w:eastAsia="宋体" w:cs="宋体"/>
                <w:b w:val="0"/>
                <w:bCs w:val="0"/>
                <w:color w:val="auto"/>
                <w:sz w:val="24"/>
                <w:szCs w:val="24"/>
                <w:highlight w:val="none"/>
                <w:lang w:val="en-US" w:eastAsia="zh-CN"/>
              </w:rPr>
              <w:t xml:space="preserve">社保（</w:t>
            </w:r>
            <w:r>
              <w:rPr>
                <w:rFonts w:hint="eastAsia" w:ascii="宋体" w:hAnsi="宋体" w:eastAsia="宋体" w:cs="宋体"/>
                <w:b w:val="0"/>
                <w:bCs w:val="0"/>
                <w:color w:val="auto"/>
                <w:sz w:val="24"/>
                <w:szCs w:val="24"/>
                <w:highlight w:val="none"/>
              </w:rPr>
              <w:t xml:space="preserve">近3个月内任意一个月</w:t>
            </w:r>
            <w:r>
              <w:rPr>
                <w:rFonts w:hint="eastAsia" w:ascii="宋体" w:hAnsi="宋体" w:eastAsia="宋体" w:cs="宋体"/>
                <w:b w:val="0"/>
                <w:bCs w:val="0"/>
                <w:color w:val="auto"/>
                <w:sz w:val="24"/>
                <w:szCs w:val="24"/>
                <w:highlight w:val="none"/>
                <w:lang w:val="en-US" w:eastAsia="zh-CN"/>
              </w:rPr>
              <w:t xml:space="preserve">）扫描件，</w:t>
            </w:r>
            <w:r>
              <w:rPr>
                <w:rFonts w:hint="eastAsia" w:ascii="宋体" w:hAnsi="宋体" w:eastAsia="宋体" w:cs="宋体"/>
                <w:b w:val="0"/>
                <w:bCs w:val="0"/>
                <w:color w:val="auto"/>
                <w:sz w:val="24"/>
                <w:szCs w:val="24"/>
                <w:highlight w:val="none"/>
              </w:rPr>
              <w:t xml:space="preserve">否则不得分。</w:t>
            </w:r>
            <w:r/>
          </w:p>
        </w:tc>
      </w:tr>
      <w:tr>
        <w:trPr>
          <w:jc w:val="center"/>
          <w:trHeight w:val="57"/>
        </w:trPr>
        <w:tc>
          <w:tcPr>
            <w:tcW w:w="666"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p>
        </w:tc>
        <w:tc>
          <w:tcPr>
            <w:tcW w:w="1883" w:type="dxa"/>
            <w:vAlign w:val="center"/>
            <w:textDirection w:val="lrTb"/>
            <w:noWrap w:val="false"/>
          </w:tcPr>
          <w:p>
            <w:pPr>
              <w:jc w:val="center"/>
              <w:rPr>
                <w:rFonts w:hint="default" w:ascii="宋体" w:hAnsi="宋体" w:eastAsia="宋体" w:cs="宋体"/>
                <w:b w:val="0"/>
                <w:bCs w:val="0"/>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职称证</w:t>
            </w:r>
            <w:r/>
          </w:p>
        </w:tc>
        <w:tc>
          <w:tcPr>
            <w:tcW w:w="817"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tcW w:w="5964" w:type="dxa"/>
            <w:vAlign w:val="center"/>
            <w:textDirection w:val="lrTb"/>
            <w:noWrap w:val="false"/>
          </w:tcPr>
          <w:p>
            <w:pPr>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拟投入本项目人员</w:t>
            </w:r>
            <w:r>
              <w:rPr>
                <w:rFonts w:hint="eastAsia" w:ascii="宋体" w:hAnsi="宋体" w:cs="宋体"/>
                <w:b w:val="0"/>
                <w:bCs w:val="0"/>
                <w:color w:val="auto"/>
                <w:sz w:val="24"/>
                <w:szCs w:val="24"/>
                <w:highlight w:val="none"/>
                <w:lang w:val="en-US" w:eastAsia="zh-CN"/>
              </w:rPr>
              <w:t xml:space="preserve">中具备工程类</w:t>
            </w:r>
            <w:r>
              <w:rPr>
                <w:rFonts w:hint="eastAsia" w:ascii="宋体" w:hAnsi="宋体" w:eastAsia="宋体" w:cs="宋体"/>
                <w:b w:val="0"/>
                <w:bCs w:val="0"/>
                <w:color w:val="auto"/>
                <w:sz w:val="24"/>
                <w:szCs w:val="24"/>
                <w:highlight w:val="none"/>
                <w:lang w:val="en-US" w:eastAsia="zh-CN" w:bidi="ar-SA"/>
              </w:rPr>
              <w:t xml:space="preserve">中级职称的，每人得</w:t>
            </w:r>
            <w:r>
              <w:rPr>
                <w:rFonts w:hint="eastAsia" w:ascii="宋体" w:hAnsi="宋体" w:cs="宋体"/>
                <w:b w:val="0"/>
                <w:bCs w:val="0"/>
                <w:color w:val="auto"/>
                <w:sz w:val="24"/>
                <w:szCs w:val="24"/>
                <w:highlight w:val="none"/>
                <w:lang w:val="en-US" w:eastAsia="zh-CN" w:bidi="ar-SA"/>
              </w:rPr>
              <w:t xml:space="preserve">0.5</w:t>
            </w:r>
            <w:r>
              <w:rPr>
                <w:rFonts w:hint="eastAsia" w:ascii="宋体" w:hAnsi="宋体" w:eastAsia="宋体" w:cs="宋体"/>
                <w:b w:val="0"/>
                <w:bCs w:val="0"/>
                <w:color w:val="auto"/>
                <w:sz w:val="24"/>
                <w:szCs w:val="24"/>
                <w:highlight w:val="none"/>
                <w:lang w:val="en-US" w:eastAsia="zh-CN" w:bidi="ar-SA"/>
              </w:rPr>
              <w:t xml:space="preserve">分，</w:t>
            </w:r>
            <w:r>
              <w:rPr>
                <w:rFonts w:hint="eastAsia" w:ascii="宋体" w:hAnsi="宋体" w:cs="宋体"/>
                <w:b w:val="0"/>
                <w:bCs w:val="0"/>
                <w:color w:val="auto"/>
                <w:sz w:val="24"/>
                <w:szCs w:val="24"/>
                <w:highlight w:val="none"/>
                <w:lang w:val="en-US" w:eastAsia="zh-CN" w:bidi="ar-SA"/>
              </w:rPr>
              <w:t xml:space="preserve">具备工程类高级及以上职称的，每人得1分，</w:t>
            </w:r>
            <w:r>
              <w:rPr>
                <w:rFonts w:ascii="宋体" w:hAnsi="宋体" w:eastAsia="宋体" w:cs="宋体"/>
                <w:color w:val="auto"/>
                <w:sz w:val="24"/>
                <w:szCs w:val="24"/>
                <w:highlight w:val="none"/>
              </w:rPr>
              <w:t xml:space="preserve">本项累计</w:t>
            </w:r>
            <w:r>
              <w:rPr>
                <w:rFonts w:hint="eastAsia" w:ascii="宋体" w:hAnsi="宋体" w:eastAsia="宋体" w:cs="宋体"/>
                <w:b w:val="0"/>
                <w:bCs w:val="0"/>
                <w:color w:val="auto"/>
                <w:sz w:val="24"/>
                <w:szCs w:val="24"/>
                <w:highlight w:val="none"/>
                <w:lang w:val="en-US" w:eastAsia="zh-CN" w:bidi="ar-SA"/>
              </w:rPr>
              <w:t xml:space="preserve">最高得</w:t>
            </w:r>
            <w:r>
              <w:rPr>
                <w:rFonts w:hint="eastAsia" w:ascii="宋体" w:hAnsi="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分。</w:t>
            </w:r>
            <w:r>
              <w:rPr>
                <w:rFonts w:ascii="宋体" w:hAnsi="宋体" w:eastAsia="宋体" w:cs="宋体"/>
                <w:color w:val="auto"/>
                <w:sz w:val="24"/>
                <w:szCs w:val="24"/>
                <w:highlight w:val="none"/>
              </w:rPr>
              <w:t xml:space="preserve">同一人</w:t>
            </w:r>
            <w:r>
              <w:rPr>
                <w:rFonts w:hint="eastAsia" w:ascii="宋体" w:hAnsi="宋体" w:cs="宋体"/>
                <w:color w:val="auto"/>
                <w:sz w:val="24"/>
                <w:szCs w:val="24"/>
                <w:highlight w:val="none"/>
                <w:lang w:val="en-US" w:eastAsia="zh-CN"/>
              </w:rPr>
              <w:t xml:space="preserve">仅</w:t>
            </w:r>
            <w:r>
              <w:rPr>
                <w:rFonts w:ascii="宋体" w:hAnsi="宋体" w:eastAsia="宋体" w:cs="宋体"/>
                <w:color w:val="auto"/>
                <w:sz w:val="24"/>
                <w:szCs w:val="24"/>
                <w:highlight w:val="none"/>
              </w:rPr>
              <w:t xml:space="preserve">按最高职称</w:t>
            </w:r>
            <w:r>
              <w:rPr>
                <w:rFonts w:hint="eastAsia" w:ascii="宋体" w:hAnsi="宋体" w:cs="宋体"/>
                <w:color w:val="auto"/>
                <w:sz w:val="24"/>
                <w:szCs w:val="24"/>
                <w:highlight w:val="none"/>
                <w:lang w:val="en-US" w:eastAsia="zh-CN"/>
              </w:rPr>
              <w:t xml:space="preserve">等级</w:t>
            </w:r>
            <w:r>
              <w:rPr>
                <w:rFonts w:ascii="宋体" w:hAnsi="宋体" w:eastAsia="宋体" w:cs="宋体"/>
                <w:color w:val="auto"/>
                <w:sz w:val="24"/>
                <w:szCs w:val="24"/>
                <w:highlight w:val="none"/>
              </w:rPr>
              <w:t xml:space="preserve">计分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本项最多仅</w:t>
            </w:r>
            <w:r>
              <w:rPr>
                <w:rFonts w:hint="eastAsia" w:ascii="宋体" w:hAnsi="宋体" w:cs="宋体"/>
                <w:color w:val="auto"/>
                <w:sz w:val="24"/>
                <w:szCs w:val="24"/>
                <w:highlight w:val="none"/>
                <w:lang w:eastAsia="zh-CN"/>
              </w:rPr>
              <w:t xml:space="preserve">限评</w:t>
            </w:r>
            <w:r>
              <w:rPr>
                <w:rFonts w:hint="eastAsia" w:ascii="宋体" w:hAnsi="宋体" w:cs="宋体"/>
                <w:color w:val="auto"/>
                <w:sz w:val="24"/>
                <w:szCs w:val="24"/>
                <w:highlight w:val="none"/>
                <w:lang w:val="en-US" w:eastAsia="zh-CN"/>
              </w:rPr>
              <w:t xml:space="preserve">定4</w:t>
            </w:r>
            <w:r>
              <w:rPr>
                <w:rFonts w:hint="eastAsia" w:ascii="宋体" w:hAnsi="宋体" w:cs="宋体"/>
                <w:color w:val="auto"/>
                <w:sz w:val="24"/>
                <w:szCs w:val="24"/>
                <w:highlight w:val="none"/>
                <w:lang w:eastAsia="zh-CN"/>
              </w:rPr>
              <w:t xml:space="preserve">人。职称证书</w:t>
            </w:r>
            <w:r>
              <w:rPr>
                <w:rFonts w:hint="eastAsia" w:ascii="宋体" w:hAnsi="宋体" w:cs="宋体"/>
                <w:color w:val="auto"/>
                <w:sz w:val="24"/>
                <w:szCs w:val="24"/>
                <w:highlight w:val="none"/>
                <w:lang w:val="en-US" w:eastAsia="zh-CN"/>
              </w:rPr>
              <w:t xml:space="preserve">未载明</w:t>
            </w:r>
            <w:r>
              <w:rPr>
                <w:rFonts w:hint="eastAsia" w:ascii="宋体" w:hAnsi="宋体" w:cs="宋体"/>
                <w:color w:val="auto"/>
                <w:sz w:val="24"/>
                <w:szCs w:val="24"/>
                <w:highlight w:val="none"/>
                <w:lang w:eastAsia="zh-CN"/>
              </w:rPr>
              <w:t xml:space="preserve">专业的，</w:t>
            </w:r>
            <w:r>
              <w:rPr>
                <w:rFonts w:hint="eastAsia" w:ascii="宋体" w:hAnsi="宋体" w:cs="宋体"/>
                <w:color w:val="auto"/>
                <w:sz w:val="24"/>
                <w:szCs w:val="24"/>
                <w:highlight w:val="none"/>
                <w:lang w:val="en-US" w:eastAsia="zh-CN"/>
              </w:rPr>
              <w:t xml:space="preserve">须同步</w:t>
            </w:r>
            <w:r>
              <w:rPr>
                <w:rFonts w:hint="eastAsia" w:ascii="宋体" w:hAnsi="宋体" w:cs="宋体"/>
                <w:color w:val="auto"/>
                <w:sz w:val="24"/>
                <w:szCs w:val="24"/>
                <w:highlight w:val="none"/>
                <w:lang w:eastAsia="zh-CN"/>
              </w:rPr>
              <w:t xml:space="preserve">提供职称申报评审表或毕业证书</w:t>
            </w:r>
            <w:r>
              <w:rPr>
                <w:rFonts w:hint="eastAsia" w:ascii="宋体" w:hAnsi="宋体" w:cs="宋体"/>
                <w:color w:val="auto"/>
                <w:sz w:val="24"/>
                <w:szCs w:val="24"/>
                <w:highlight w:val="none"/>
                <w:lang w:val="en-US" w:eastAsia="zh-CN"/>
              </w:rPr>
              <w:t xml:space="preserve">佐证专业类别</w:t>
            </w:r>
            <w:r>
              <w:rPr>
                <w:rFonts w:hint="eastAsia" w:ascii="宋体" w:hAnsi="宋体" w:eastAsia="宋体" w:cs="宋体"/>
                <w:color w:val="auto"/>
                <w:sz w:val="24"/>
                <w:szCs w:val="24"/>
                <w:highlight w:val="none"/>
                <w:lang w:eastAsia="zh-CN"/>
              </w:rPr>
              <w:t xml:space="preserve">。</w:t>
            </w:r>
            <w:r/>
          </w:p>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w:t>
            </w:r>
            <w:r>
              <w:rPr>
                <w:rFonts w:hint="eastAsia" w:ascii="宋体" w:hAnsi="宋体" w:eastAsia="宋体" w:cs="宋体"/>
                <w:b w:val="0"/>
                <w:bCs w:val="0"/>
                <w:color w:val="auto"/>
                <w:sz w:val="24"/>
                <w:szCs w:val="24"/>
                <w:highlight w:val="none"/>
                <w:lang w:val="en-US" w:eastAsia="zh-CN"/>
              </w:rPr>
              <w:t xml:space="preserve">响应文件中</w:t>
            </w:r>
            <w:r>
              <w:rPr>
                <w:rFonts w:hint="eastAsia" w:ascii="宋体" w:hAnsi="宋体" w:eastAsia="宋体" w:cs="宋体"/>
                <w:b w:val="0"/>
                <w:bCs w:val="0"/>
                <w:color w:val="auto"/>
                <w:sz w:val="24"/>
                <w:szCs w:val="24"/>
                <w:highlight w:val="none"/>
              </w:rPr>
              <w:t xml:space="preserve">提供</w:t>
            </w:r>
            <w:r>
              <w:rPr>
                <w:rFonts w:hint="eastAsia" w:ascii="宋体" w:hAnsi="宋体" w:eastAsia="宋体" w:cs="宋体"/>
                <w:b w:val="0"/>
                <w:bCs w:val="0"/>
                <w:color w:val="auto"/>
                <w:sz w:val="24"/>
                <w:szCs w:val="24"/>
                <w:highlight w:val="none"/>
                <w:lang w:val="en-US" w:eastAsia="zh-CN"/>
              </w:rPr>
              <w:t xml:space="preserve">职称证书及</w:t>
            </w:r>
            <w:r>
              <w:rPr>
                <w:rFonts w:hint="eastAsia" w:ascii="宋体" w:hAnsi="宋体" w:eastAsia="宋体" w:cs="宋体"/>
                <w:b w:val="0"/>
                <w:bCs w:val="0"/>
                <w:color w:val="auto"/>
                <w:sz w:val="24"/>
                <w:szCs w:val="24"/>
                <w:highlight w:val="none"/>
              </w:rPr>
              <w:t xml:space="preserve">供应商为其缴纳</w:t>
            </w:r>
            <w:r>
              <w:rPr>
                <w:rFonts w:hint="eastAsia" w:ascii="宋体" w:hAnsi="宋体" w:cs="宋体"/>
                <w:b w:val="0"/>
                <w:bCs w:val="0"/>
                <w:color w:val="auto"/>
                <w:sz w:val="24"/>
                <w:szCs w:val="24"/>
                <w:highlight w:val="none"/>
                <w:lang w:eastAsia="zh-CN"/>
              </w:rPr>
              <w:t xml:space="preserve">的</w:t>
            </w:r>
            <w:r>
              <w:rPr>
                <w:rFonts w:hint="eastAsia" w:ascii="宋体" w:hAnsi="宋体" w:eastAsia="宋体" w:cs="宋体"/>
                <w:b w:val="0"/>
                <w:bCs w:val="0"/>
                <w:color w:val="auto"/>
                <w:sz w:val="24"/>
                <w:szCs w:val="24"/>
                <w:highlight w:val="none"/>
                <w:lang w:val="en-US" w:eastAsia="zh-CN"/>
              </w:rPr>
              <w:t xml:space="preserve">社保（</w:t>
            </w:r>
            <w:r>
              <w:rPr>
                <w:rFonts w:hint="eastAsia" w:ascii="宋体" w:hAnsi="宋体" w:eastAsia="宋体" w:cs="宋体"/>
                <w:b w:val="0"/>
                <w:bCs w:val="0"/>
                <w:color w:val="auto"/>
                <w:sz w:val="24"/>
                <w:szCs w:val="24"/>
                <w:highlight w:val="none"/>
              </w:rPr>
              <w:t xml:space="preserve">近3个月内任意一个月</w:t>
            </w:r>
            <w:r>
              <w:rPr>
                <w:rFonts w:hint="eastAsia" w:ascii="宋体" w:hAnsi="宋体" w:eastAsia="宋体" w:cs="宋体"/>
                <w:b w:val="0"/>
                <w:bCs w:val="0"/>
                <w:color w:val="auto"/>
                <w:sz w:val="24"/>
                <w:szCs w:val="24"/>
                <w:highlight w:val="none"/>
                <w:lang w:val="en-US" w:eastAsia="zh-CN"/>
              </w:rPr>
              <w:t xml:space="preserve">）扫描件，</w:t>
            </w:r>
            <w:r>
              <w:rPr>
                <w:rFonts w:hint="eastAsia" w:ascii="宋体" w:hAnsi="宋体" w:cs="宋体"/>
                <w:b w:val="0"/>
                <w:bCs w:val="0"/>
                <w:color w:val="auto"/>
                <w:sz w:val="24"/>
                <w:szCs w:val="24"/>
                <w:highlight w:val="none"/>
                <w:lang w:val="en-US" w:eastAsia="zh-CN"/>
              </w:rPr>
              <w:t xml:space="preserve">资料不全、佐证材料缺失的本项不予计分</w:t>
            </w:r>
            <w:r>
              <w:rPr>
                <w:rFonts w:hint="eastAsia" w:ascii="宋体" w:hAnsi="宋体" w:eastAsia="宋体" w:cs="宋体"/>
                <w:b w:val="0"/>
                <w:bCs w:val="0"/>
                <w:color w:val="auto"/>
                <w:sz w:val="24"/>
                <w:szCs w:val="24"/>
                <w:highlight w:val="none"/>
              </w:rPr>
              <w:t xml:space="preserve">。</w:t>
            </w:r>
            <w:r/>
          </w:p>
        </w:tc>
      </w:tr>
      <w:tr>
        <w:trPr>
          <w:jc w:val="center"/>
          <w:trHeight w:val="57"/>
        </w:trPr>
        <w:tc>
          <w:tcPr>
            <w:tcW w:w="666" w:type="dxa"/>
            <w:vAlign w:val="center"/>
            <w:textDirection w:val="lrTb"/>
            <w:noWrap w:val="false"/>
          </w:tcPr>
          <w:p>
            <w:pPr>
              <w:jc w:val="center"/>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w:t>
            </w:r>
            <w:r/>
          </w:p>
        </w:tc>
        <w:tc>
          <w:tcPr>
            <w:tcW w:w="1883" w:type="dxa"/>
            <w:vAlign w:val="center"/>
            <w:textDirection w:val="lrTb"/>
            <w:noWrap w:val="false"/>
          </w:tcPr>
          <w:p>
            <w:pPr>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注册安全工程师</w:t>
            </w:r>
            <w:r/>
          </w:p>
        </w:tc>
        <w:tc>
          <w:tcPr>
            <w:tcW w:w="817" w:type="dxa"/>
            <w:vAlign w:val="center"/>
            <w:textDirection w:val="lrTb"/>
            <w:noWrap w:val="false"/>
          </w:tcPr>
          <w:p>
            <w:pPr>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tcW w:w="5964" w:type="dxa"/>
            <w:vAlign w:val="center"/>
            <w:textDirection w:val="lrTb"/>
            <w:noWrap w:val="false"/>
          </w:tcPr>
          <w:p>
            <w:pPr>
              <w:jc w:val="left"/>
              <w:rPr>
                <w:rFonts w:hint="eastAsia" w:ascii="宋体" w:hAnsi="宋体" w:eastAsia="宋体" w:cs="宋体"/>
                <w:color w:val="auto"/>
                <w:sz w:val="24"/>
                <w:szCs w:val="24"/>
                <w:highlight w:val="none"/>
                <w:lang w:eastAsia="zh-CN"/>
              </w:rPr>
            </w:pPr>
            <w:r>
              <w:rPr>
                <w:rFonts w:ascii="宋体" w:hAnsi="宋体" w:eastAsia="宋体" w:cs="宋体"/>
                <w:color w:val="auto"/>
                <w:sz w:val="24"/>
                <w:szCs w:val="24"/>
                <w:highlight w:val="none"/>
              </w:rPr>
              <w:t xml:space="preserve">拟投入本项目人员中，持有</w:t>
            </w:r>
            <w:r>
              <w:rPr>
                <w:rStyle w:val="712"/>
                <w:rFonts w:ascii="宋体" w:hAnsi="宋体" w:eastAsia="宋体" w:cs="宋体"/>
                <w:b w:val="0"/>
                <w:bCs w:val="0"/>
                <w:color w:val="auto"/>
                <w:sz w:val="24"/>
                <w:szCs w:val="24"/>
                <w:highlight w:val="none"/>
              </w:rPr>
              <w:t xml:space="preserve">中级及以上注册安全工程师执业资格证书</w:t>
            </w:r>
            <w:r>
              <w:rPr>
                <w:rFonts w:ascii="宋体" w:hAnsi="宋体" w:eastAsia="宋体" w:cs="宋体"/>
                <w:color w:val="auto"/>
                <w:sz w:val="24"/>
                <w:szCs w:val="24"/>
                <w:highlight w:val="none"/>
              </w:rPr>
              <w:t xml:space="preserve">的，每人得2分，最高得</w:t>
            </w:r>
            <w:r>
              <w:rPr>
                <w:rFonts w:hint="eastAsia" w:ascii="宋体" w:hAnsi="宋体" w:eastAsia="宋体" w:cs="宋体"/>
                <w:color w:val="auto"/>
                <w:sz w:val="24"/>
                <w:szCs w:val="24"/>
                <w:highlight w:val="none"/>
                <w:lang w:val="en-US" w:eastAsia="zh-CN"/>
              </w:rPr>
              <w:t xml:space="preserve">4</w:t>
            </w:r>
            <w:r>
              <w:rPr>
                <w:rFonts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w:t>
            </w:r>
            <w:r>
              <w:rPr>
                <w:rFonts w:hint="eastAsia" w:ascii="宋体" w:hAnsi="宋体" w:eastAsia="宋体" w:cs="宋体"/>
                <w:b w:val="0"/>
                <w:bCs w:val="0"/>
                <w:color w:val="auto"/>
                <w:sz w:val="24"/>
                <w:szCs w:val="24"/>
                <w:highlight w:val="none"/>
                <w:lang w:val="en-US" w:eastAsia="zh-CN"/>
              </w:rPr>
              <w:t xml:space="preserve">响应文件中</w:t>
            </w:r>
            <w:r>
              <w:rPr>
                <w:rFonts w:hint="eastAsia" w:ascii="宋体" w:hAnsi="宋体" w:eastAsia="宋体" w:cs="宋体"/>
                <w:b w:val="0"/>
                <w:bCs w:val="0"/>
                <w:color w:val="auto"/>
                <w:sz w:val="24"/>
                <w:szCs w:val="24"/>
                <w:highlight w:val="none"/>
              </w:rPr>
              <w:t xml:space="preserve">提供</w:t>
            </w:r>
            <w:r>
              <w:rPr>
                <w:rFonts w:hint="eastAsia" w:ascii="宋体" w:hAnsi="宋体" w:eastAsia="宋体" w:cs="宋体"/>
                <w:b w:val="0"/>
                <w:bCs w:val="0"/>
                <w:color w:val="auto"/>
                <w:sz w:val="24"/>
                <w:szCs w:val="24"/>
                <w:highlight w:val="none"/>
                <w:lang w:val="en-US" w:eastAsia="zh-CN"/>
              </w:rPr>
              <w:t xml:space="preserve">证书及</w:t>
            </w:r>
            <w:r>
              <w:rPr>
                <w:rFonts w:hint="eastAsia" w:ascii="宋体" w:hAnsi="宋体" w:eastAsia="宋体" w:cs="宋体"/>
                <w:b w:val="0"/>
                <w:bCs w:val="0"/>
                <w:color w:val="auto"/>
                <w:sz w:val="24"/>
                <w:szCs w:val="24"/>
                <w:highlight w:val="none"/>
              </w:rPr>
              <w:t xml:space="preserve">供应商为其缴纳</w:t>
            </w:r>
            <w:r>
              <w:rPr>
                <w:rFonts w:hint="eastAsia" w:ascii="宋体" w:hAnsi="宋体" w:cs="宋体"/>
                <w:b w:val="0"/>
                <w:bCs w:val="0"/>
                <w:color w:val="auto"/>
                <w:sz w:val="24"/>
                <w:szCs w:val="24"/>
                <w:highlight w:val="none"/>
                <w:lang w:eastAsia="zh-CN"/>
              </w:rPr>
              <w:t xml:space="preserve">的</w:t>
            </w:r>
            <w:r>
              <w:rPr>
                <w:rFonts w:hint="eastAsia" w:ascii="宋体" w:hAnsi="宋体" w:eastAsia="宋体" w:cs="宋体"/>
                <w:b w:val="0"/>
                <w:bCs w:val="0"/>
                <w:color w:val="auto"/>
                <w:sz w:val="24"/>
                <w:szCs w:val="24"/>
                <w:highlight w:val="none"/>
                <w:lang w:val="en-US" w:eastAsia="zh-CN"/>
              </w:rPr>
              <w:t xml:space="preserve">社保（</w:t>
            </w:r>
            <w:r>
              <w:rPr>
                <w:rFonts w:hint="eastAsia" w:ascii="宋体" w:hAnsi="宋体" w:eastAsia="宋体" w:cs="宋体"/>
                <w:b w:val="0"/>
                <w:bCs w:val="0"/>
                <w:color w:val="auto"/>
                <w:sz w:val="24"/>
                <w:szCs w:val="24"/>
                <w:highlight w:val="none"/>
              </w:rPr>
              <w:t xml:space="preserve">近3个月内任意一个月</w:t>
            </w:r>
            <w:r>
              <w:rPr>
                <w:rFonts w:hint="eastAsia" w:ascii="宋体" w:hAnsi="宋体" w:eastAsia="宋体" w:cs="宋体"/>
                <w:b w:val="0"/>
                <w:bCs w:val="0"/>
                <w:color w:val="auto"/>
                <w:sz w:val="24"/>
                <w:szCs w:val="24"/>
                <w:highlight w:val="none"/>
                <w:lang w:val="en-US" w:eastAsia="zh-CN"/>
              </w:rPr>
              <w:t xml:space="preserve">）扫描件，</w:t>
            </w:r>
            <w:r>
              <w:rPr>
                <w:rFonts w:hint="eastAsia" w:ascii="宋体" w:hAnsi="宋体" w:eastAsia="宋体" w:cs="宋体"/>
                <w:b w:val="0"/>
                <w:bCs w:val="0"/>
                <w:color w:val="auto"/>
                <w:sz w:val="24"/>
                <w:szCs w:val="24"/>
                <w:highlight w:val="none"/>
              </w:rPr>
              <w:t xml:space="preserve">否则不得分。</w:t>
            </w:r>
            <w:r/>
          </w:p>
        </w:tc>
      </w:tr>
      <w:tr>
        <w:trPr>
          <w:jc w:val="center"/>
          <w:trHeight w:val="57"/>
        </w:trPr>
        <w:tc>
          <w:tcPr>
            <w:tcW w:w="666" w:type="dxa"/>
            <w:vAlign w:val="center"/>
            <w:textDirection w:val="lrTb"/>
            <w:noWrap w:val="false"/>
          </w:tcPr>
          <w:p>
            <w:pPr>
              <w:jc w:val="center"/>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w:t>
            </w:r>
            <w:r/>
          </w:p>
        </w:tc>
        <w:tc>
          <w:tcPr>
            <w:tcW w:w="1883"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安全作业设备配备</w:t>
            </w:r>
            <w:r/>
          </w:p>
        </w:tc>
        <w:tc>
          <w:tcPr>
            <w:tcW w:w="817"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w:t>
            </w:r>
            <w:r/>
          </w:p>
        </w:tc>
        <w:tc>
          <w:tcPr>
            <w:tcW w:w="5964"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（1）配备防撞缓冲车，每辆得1分，最高得1分</w:t>
            </w:r>
            <w:r>
              <w:rPr>
                <w:rFonts w:hint="eastAsia" w:ascii="宋体" w:hAnsi="宋体" w:cs="宋体"/>
                <w:b w:val="0"/>
                <w:bCs w:val="0"/>
                <w:color w:val="auto"/>
                <w:sz w:val="24"/>
                <w:szCs w:val="24"/>
                <w:highlight w:val="none"/>
                <w:lang w:val="en-US" w:eastAsia="zh-CN" w:bidi="ar-SA"/>
              </w:rPr>
              <w:t xml:space="preserve">。</w:t>
            </w:r>
            <w:r/>
          </w:p>
          <w:p>
            <w:pPr>
              <w:ind w:firstLine="0"/>
              <w:jc w:val="left"/>
              <w:keepLines w:val="0"/>
              <w:keepNext w:val="0"/>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（2）配备27米及以上高空作业车，每辆得1分，最高得2分</w:t>
            </w:r>
            <w:r>
              <w:rPr>
                <w:rFonts w:hint="eastAsia" w:ascii="宋体" w:hAnsi="宋体" w:cs="宋体"/>
                <w:b w:val="0"/>
                <w:bCs w:val="0"/>
                <w:color w:val="auto"/>
                <w:sz w:val="24"/>
                <w:szCs w:val="24"/>
                <w:highlight w:val="none"/>
                <w:lang w:val="en-US" w:eastAsia="zh-CN" w:bidi="ar-SA"/>
              </w:rPr>
              <w:t xml:space="preserve">。</w:t>
            </w:r>
            <w:r/>
          </w:p>
          <w:p>
            <w:pPr>
              <w:ind w:firstLine="0"/>
              <w:jc w:val="left"/>
              <w:keepLines w:val="0"/>
              <w:keepNext w:val="0"/>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（3）配备吊车，每辆得1分，最高得1分。</w:t>
            </w:r>
            <w:r/>
          </w:p>
          <w:p>
            <w:pPr>
              <w:ind w:firstLine="0"/>
              <w:jc w:val="left"/>
              <w:keepLines w:val="0"/>
              <w:keepNext w:val="0"/>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（4）配备发电车，每辆得1分，最高得1分。</w:t>
            </w:r>
            <w:r/>
          </w:p>
          <w:p>
            <w:pPr>
              <w:ind w:firstLine="0"/>
              <w:jc w:val="left"/>
              <w:keepLines w:val="0"/>
              <w:keepNext w:val="0"/>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注：1）自有车辆：须提供车辆产权证明、购置发票、车辆（正面、两侧、尾部）照片；其中防撞缓冲车需额外提供说明书，27米及以上高空作业车需提供高度参数证明材料。</w:t>
            </w:r>
            <w:r/>
          </w:p>
          <w:p>
            <w:pPr>
              <w:ind w:firstLine="0"/>
              <w:jc w:val="left"/>
              <w:keepLines w:val="0"/>
              <w:keepNext w:val="0"/>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2）租赁车辆：须提供租赁协议、出租方车辆产权证明、车辆（正面、两侧、尾部）照片、租赁发票；其中防撞缓冲车需额外提供说明书，27米及以上高空作业车需提供高度参数证明材料。</w:t>
            </w:r>
            <w:r/>
          </w:p>
          <w:p>
            <w:pPr>
              <w:numPr>
                <w:ilvl w:val="-1"/>
                <w:numId w:val="0"/>
              </w:numPr>
              <w:jc w:val="left"/>
              <w:rPr>
                <w:rFonts w:hint="eastAsia" w:ascii="宋体" w:hAnsi="宋体" w:eastAsia="宋体" w:cs="宋体"/>
                <w:b w:val="0"/>
                <w:bCs w:val="0"/>
                <w:color w:val="auto"/>
                <w:sz w:val="24"/>
                <w:szCs w:val="24"/>
                <w:highlight w:val="none"/>
                <w:lang w:val="en-US"/>
              </w:rPr>
            </w:pPr>
            <w:r>
              <w:rPr>
                <w:rFonts w:hint="eastAsia" w:ascii="宋体" w:hAnsi="宋体" w:eastAsia="宋体" w:cs="宋体"/>
                <w:color w:val="auto"/>
                <w:sz w:val="24"/>
                <w:szCs w:val="24"/>
                <w:highlight w:val="none"/>
              </w:rPr>
              <w:t xml:space="preserve">3）所有证明材料均须提供清晰原件扫描件，资料不全、模糊不清或未按要求提供的，本项不得分。</w:t>
            </w:r>
            <w:r/>
          </w:p>
        </w:tc>
      </w:tr>
      <w:tr>
        <w:trPr>
          <w:jc w:val="center"/>
          <w:trHeight w:val="57"/>
        </w:trPr>
        <w:tc>
          <w:tcPr>
            <w:tcW w:w="666"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w:t>
            </w:r>
            <w:r/>
          </w:p>
        </w:tc>
        <w:tc>
          <w:tcPr>
            <w:tcW w:w="1883"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 xml:space="preserve">管理体系认证</w:t>
            </w:r>
            <w:r/>
          </w:p>
        </w:tc>
        <w:tc>
          <w:tcPr>
            <w:tcW w:w="817" w:type="dxa"/>
            <w:vAlign w:val="center"/>
            <w:textDirection w:val="lrTb"/>
            <w:noWrap w:val="false"/>
          </w:tcPr>
          <w:p>
            <w:pPr>
              <w:jc w:val="center"/>
              <w:rPr>
                <w:rFonts w:hint="default" w:ascii="宋体" w:hAnsi="宋体" w:eastAsia="宋体" w:cs="宋体"/>
                <w:b w:val="0"/>
                <w:bCs w:val="0"/>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W w:w="5964" w:type="dxa"/>
            <w:vAlign w:val="center"/>
            <w:textDirection w:val="lrTb"/>
            <w:noWrap w:val="false"/>
          </w:tcPr>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供应商具有有效期内的质量管理体系认证证书、环境管理体系认证证书、职业健康安全管理体系认证证书，</w:t>
            </w:r>
            <w:r>
              <w:rPr>
                <w:rFonts w:hint="eastAsia" w:ascii="宋体" w:hAnsi="宋体" w:cs="宋体"/>
                <w:b w:val="0"/>
                <w:bCs w:val="0"/>
                <w:color w:val="auto"/>
                <w:sz w:val="24"/>
                <w:szCs w:val="24"/>
                <w:highlight w:val="none"/>
                <w:lang w:val="en-US" w:eastAsia="zh-CN"/>
              </w:rPr>
              <w:t xml:space="preserve">每提供1项证书</w:t>
            </w:r>
            <w:r>
              <w:rPr>
                <w:rFonts w:hint="eastAsia" w:ascii="宋体" w:hAnsi="宋体" w:eastAsia="宋体" w:cs="宋体"/>
                <w:b w:val="0"/>
                <w:bCs w:val="0"/>
                <w:color w:val="auto"/>
                <w:sz w:val="24"/>
                <w:szCs w:val="24"/>
                <w:highlight w:val="none"/>
              </w:rPr>
              <w:t xml:space="preserve">得</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分，最高得</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w:t>
            </w:r>
            <w:r/>
          </w:p>
          <w:p>
            <w:pPr>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注：</w:t>
            </w:r>
            <w:r>
              <w:rPr>
                <w:rFonts w:hint="eastAsia" w:ascii="宋体" w:hAnsi="宋体" w:eastAsia="宋体" w:cs="宋体"/>
                <w:b w:val="0"/>
                <w:bCs w:val="0"/>
                <w:color w:val="auto"/>
                <w:sz w:val="24"/>
                <w:szCs w:val="24"/>
                <w:highlight w:val="none"/>
                <w:lang w:val="en-US" w:eastAsia="zh-CN"/>
              </w:rPr>
              <w:t xml:space="preserve">响应文件中</w:t>
            </w:r>
            <w:r>
              <w:rPr>
                <w:rFonts w:hint="eastAsia" w:ascii="宋体" w:hAnsi="宋体" w:eastAsia="宋体" w:cs="宋体"/>
                <w:b w:val="0"/>
                <w:bCs w:val="0"/>
                <w:color w:val="auto"/>
                <w:sz w:val="24"/>
                <w:szCs w:val="24"/>
                <w:highlight w:val="none"/>
              </w:rPr>
              <w:t xml:space="preserve">提供证书</w:t>
            </w:r>
            <w:r>
              <w:rPr>
                <w:rFonts w:hint="eastAsia" w:ascii="宋体" w:hAnsi="宋体" w:eastAsia="宋体" w:cs="宋体"/>
                <w:b/>
                <w:bCs/>
                <w:color w:val="auto"/>
                <w:sz w:val="24"/>
                <w:szCs w:val="24"/>
                <w:highlight w:val="none"/>
                <w:lang w:val="en-US" w:eastAsia="zh-CN"/>
              </w:rPr>
              <w:t xml:space="preserve">和</w:t>
            </w:r>
            <w:r>
              <w:rPr>
                <w:rFonts w:hint="eastAsia" w:ascii="宋体" w:hAnsi="宋体" w:eastAsia="宋体" w:cs="宋体"/>
                <w:b w:val="0"/>
                <w:bCs w:val="0"/>
                <w:color w:val="auto"/>
                <w:sz w:val="24"/>
                <w:szCs w:val="24"/>
                <w:highlight w:val="none"/>
              </w:rPr>
              <w:t xml:space="preserve">在中国国家认证认可监督管理委员会网站的完整查询截图，未提供或提供材料模糊不清无法辨认的不予计分。</w:t>
            </w:r>
            <w:r/>
          </w:p>
        </w:tc>
      </w:tr>
      <w:tr>
        <w:trPr>
          <w:jc w:val="center"/>
          <w:trHeight w:val="57"/>
        </w:trPr>
        <w:tc>
          <w:tcPr>
            <w:tcW w:w="666"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c>
          <w:tcPr>
            <w:tcW w:w="188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类似业绩</w:t>
            </w:r>
            <w:r/>
          </w:p>
        </w:tc>
        <w:tc>
          <w:tcPr>
            <w:tcW w:w="817"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c>
          <w:tcPr>
            <w:tcW w:w="5964" w:type="dxa"/>
            <w:vAlign w:val="center"/>
            <w:textDirection w:val="lrTb"/>
            <w:noWrap w:val="false"/>
          </w:tcPr>
          <w:p>
            <w:pPr>
              <w:pStyle w:val="687"/>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供应商</w:t>
            </w:r>
            <w:r>
              <w:rPr>
                <w:rFonts w:hint="eastAsia" w:ascii="宋体" w:hAnsi="宋体" w:eastAsia="宋体" w:cs="宋体"/>
                <w:b w:val="0"/>
                <w:bCs w:val="0"/>
                <w:color w:val="auto"/>
                <w:sz w:val="24"/>
                <w:szCs w:val="24"/>
                <w:highlight w:val="none"/>
                <w:lang w:val="en-US" w:eastAsia="zh-CN"/>
              </w:rPr>
              <w:t xml:space="preserve">自</w:t>
            </w:r>
            <w:r>
              <w:rPr>
                <w:rFonts w:hint="eastAsia" w:ascii="宋体" w:hAnsi="宋体" w:eastAsia="宋体" w:cs="宋体"/>
                <w:b w:val="0"/>
                <w:bCs w:val="0"/>
                <w:color w:val="auto"/>
                <w:sz w:val="24"/>
                <w:szCs w:val="24"/>
                <w:highlight w:val="none"/>
              </w:rPr>
              <w:t xml:space="preserve">202</w:t>
            </w:r>
            <w:r>
              <w:rPr>
                <w:rFonts w:hint="eastAsia" w:ascii="宋体" w:hAnsi="宋体" w:eastAsia="宋体" w:cs="宋体"/>
                <w:b w:val="0"/>
                <w:bCs w:val="0"/>
                <w:color w:val="auto"/>
                <w:sz w:val="24"/>
                <w:szCs w:val="24"/>
                <w:highlight w:val="none"/>
                <w:lang w:val="en-US" w:eastAsia="zh-CN"/>
              </w:rPr>
              <w:t xml:space="preserve">3年1月1日以来</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以合同签订时间为准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承担过</w:t>
            </w:r>
            <w:r>
              <w:rPr>
                <w:rFonts w:hint="eastAsia" w:ascii="宋体" w:hAnsi="宋体" w:eastAsia="宋体" w:cs="宋体"/>
                <w:b w:val="0"/>
                <w:bCs w:val="0"/>
                <w:color w:val="auto"/>
                <w:sz w:val="24"/>
                <w:szCs w:val="24"/>
                <w:highlight w:val="none"/>
              </w:rPr>
              <w:t xml:space="preserve">的类似</w:t>
            </w:r>
            <w:r>
              <w:rPr>
                <w:rFonts w:hint="eastAsia" w:ascii="宋体" w:hAnsi="宋体" w:eastAsia="宋体" w:cs="宋体"/>
                <w:b w:val="0"/>
                <w:bCs w:val="0"/>
                <w:color w:val="auto"/>
                <w:sz w:val="24"/>
                <w:szCs w:val="24"/>
                <w:highlight w:val="none"/>
                <w:lang w:val="en-US" w:eastAsia="zh-CN"/>
              </w:rPr>
              <w:t xml:space="preserve">项目</w:t>
            </w:r>
            <w:r>
              <w:rPr>
                <w:rFonts w:hint="eastAsia" w:ascii="宋体" w:hAnsi="宋体" w:eastAsia="宋体" w:cs="宋体"/>
                <w:b w:val="0"/>
                <w:bCs w:val="0"/>
                <w:color w:val="auto"/>
                <w:sz w:val="24"/>
                <w:szCs w:val="24"/>
                <w:highlight w:val="none"/>
              </w:rPr>
              <w:t xml:space="preserve">业绩</w:t>
            </w:r>
            <w:r>
              <w:rPr>
                <w:rFonts w:hint="eastAsia" w:ascii="宋体" w:hAnsi="宋体" w:eastAsia="宋体" w:cs="宋体"/>
                <w:b w:val="0"/>
                <w:bCs w:val="0"/>
                <w:color w:val="auto"/>
                <w:sz w:val="24"/>
                <w:szCs w:val="24"/>
                <w:highlight w:val="none"/>
                <w:lang w:eastAsia="zh-CN"/>
              </w:rPr>
              <w:t xml:space="preserve">的，</w:t>
            </w:r>
            <w:r>
              <w:rPr>
                <w:rFonts w:hint="eastAsia" w:ascii="宋体" w:hAnsi="宋体" w:eastAsia="宋体" w:cs="宋体"/>
                <w:b w:val="0"/>
                <w:bCs w:val="0"/>
                <w:color w:val="auto"/>
                <w:sz w:val="24"/>
                <w:szCs w:val="24"/>
                <w:highlight w:val="none"/>
              </w:rPr>
              <w:t xml:space="preserve">每</w:t>
            </w:r>
            <w:r>
              <w:rPr>
                <w:rFonts w:hint="eastAsia" w:ascii="宋体" w:hAnsi="宋体" w:eastAsia="宋体" w:cs="宋体"/>
                <w:b w:val="0"/>
                <w:bCs w:val="0"/>
                <w:color w:val="auto"/>
                <w:sz w:val="24"/>
                <w:szCs w:val="24"/>
                <w:highlight w:val="none"/>
                <w:lang w:val="en-US" w:eastAsia="zh-CN"/>
              </w:rPr>
              <w:t xml:space="preserve">提供1</w:t>
            </w:r>
            <w:r>
              <w:rPr>
                <w:rFonts w:hint="eastAsia" w:ascii="宋体" w:hAnsi="宋体" w:eastAsia="宋体" w:cs="宋体"/>
                <w:b w:val="0"/>
                <w:bCs w:val="0"/>
                <w:color w:val="auto"/>
                <w:sz w:val="24"/>
                <w:szCs w:val="24"/>
                <w:highlight w:val="none"/>
              </w:rPr>
              <w:t xml:space="preserve">个得</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分，最高得</w:t>
            </w: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分。注：</w:t>
            </w:r>
            <w:r>
              <w:rPr>
                <w:rFonts w:hint="eastAsia" w:ascii="宋体" w:hAnsi="宋体" w:eastAsia="宋体" w:cs="宋体"/>
                <w:b w:val="0"/>
                <w:bCs w:val="0"/>
                <w:color w:val="auto"/>
                <w:sz w:val="24"/>
                <w:szCs w:val="24"/>
                <w:highlight w:val="none"/>
                <w:lang w:val="en-US" w:eastAsia="zh-CN"/>
              </w:rPr>
              <w:t xml:space="preserve">响应文件中</w:t>
            </w:r>
            <w:r>
              <w:rPr>
                <w:rFonts w:hint="eastAsia" w:ascii="宋体" w:hAnsi="宋体" w:eastAsia="宋体" w:cs="宋体"/>
                <w:b w:val="0"/>
                <w:bCs w:val="0"/>
                <w:color w:val="auto"/>
                <w:sz w:val="24"/>
                <w:szCs w:val="24"/>
                <w:highlight w:val="none"/>
              </w:rPr>
              <w:t xml:space="preserve">提供合同</w:t>
            </w:r>
            <w:r>
              <w:rPr>
                <w:rFonts w:hint="eastAsia" w:ascii="宋体" w:hAnsi="宋体" w:eastAsia="宋体" w:cs="宋体"/>
                <w:b w:val="0"/>
                <w:bCs w:val="0"/>
                <w:color w:val="auto"/>
                <w:sz w:val="24"/>
                <w:szCs w:val="24"/>
                <w:highlight w:val="none"/>
                <w:lang w:val="en-US" w:eastAsia="zh-CN"/>
              </w:rPr>
              <w:t xml:space="preserve">及对应合同项下任意一期发票复印件</w:t>
            </w:r>
            <w:r>
              <w:rPr>
                <w:rFonts w:hint="eastAsia" w:ascii="宋体" w:hAnsi="宋体" w:eastAsia="宋体" w:cs="宋体"/>
                <w:b w:val="0"/>
                <w:bCs w:val="0"/>
                <w:color w:val="auto"/>
                <w:sz w:val="24"/>
                <w:szCs w:val="24"/>
                <w:highlight w:val="none"/>
              </w:rPr>
              <w:t xml:space="preserve">，未提供或提供材料模糊不清无法辨认的不予计分。</w:t>
            </w:r>
            <w:r/>
          </w:p>
        </w:tc>
      </w:tr>
    </w:tbl>
    <w:p>
      <w:pPr>
        <w:ind w:firstLine="369"/>
        <w:jc w:val="right"/>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369"/>
        <w:jc w:val="right"/>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（全文完）</w:t>
      </w:r>
      <w:r/>
    </w:p>
    <w:sectPr>
      <w:headerReference w:type="default" r:id="rId9"/>
      <w:footerReference w:type="default" r:id="rId10"/>
      <w:footnotePr/>
      <w:endnotePr/>
      <w:type w:val="nextPage"/>
      <w:pgSz w:w="11906" w:h="16838" w:orient="portrait"/>
      <w:pgMar w:top="1327" w:right="1270" w:bottom="1327" w:left="127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_GB2312">
    <w:panose1 w:val="02010609060101010101"/>
  </w:font>
  <w:font w:name="黑体">
    <w:panose1 w:val="02010609060101010101"/>
  </w:font>
  <w:font w:name="Cambria">
    <w:panose1 w:val="02040503050406030204"/>
  </w:font>
  <w:font w:name="方正仿宋简体">
    <w:panose1 w:val="020B0503020202020204"/>
  </w:font>
  <w:font w:name="Tahoma">
    <w:panose1 w:val="020B0604030504040204"/>
  </w:font>
  <w:font w:name="楷体_GB2312">
    <w:panose1 w:val="02010609060101010101"/>
  </w:font>
  <w:font w:name="Calibri">
    <w:panose1 w:val="020F0502020204030204"/>
  </w:font>
  <w:font w:name="Courier New">
    <w:panose1 w:val="020703090202050204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2472055</wp:posOffset>
              </wp:positionH>
              <wp:positionV relativeFrom="paragraph">
                <wp:posOffset>-23495</wp:posOffset>
              </wp:positionV>
              <wp:extent cx="1146810" cy="17272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146810" cy="172720"/>
                      </a:xfrm>
                      <a:prstGeom prst="rect">
                        <a:avLst/>
                      </a:prstGeom>
                      <a:noFill/>
                      <a:ln w="6350">
                        <a:noFill/>
                      </a:ln>
                    </wps:spPr>
                    <wps:txbx>
                      <w:txbxContent>
                        <w:p>
                          <w:pPr>
                            <w:pStyle w:val="789"/>
                          </w:pPr>
                          <w:r>
                            <w:t xml:space="preserve">第 </w:t>
                          </w:r>
                          <w:r>
                            <w:fldChar w:fldCharType="begin"/>
                          </w:r>
                          <w:r>
                            <w:instrText xml:space="preserve"> PAGE  \* MERGEFORMAT    </w:instrText>
                          </w:r>
                          <w:r>
                            <w:fldChar w:fldCharType="separate"/>
                          </w:r>
                          <w:r>
                            <w:t xml:space="preserve">0</w:t>
                          </w:r>
                          <w:r>
                            <w:rPr>
                              <w:rFonts w:hint="eastAsia"/>
                            </w:rPr>
                            <w:t xml:space="preserve">49</w:t>
                          </w:r>
                          <w:r>
                            <w:t xml:space="preserve">3</w:t>
                          </w:r>
                          <w:r>
                            <w:fldChar w:fldCharType="end"/>
                          </w:r>
                          <w:r>
                            <w:t xml:space="preserve"> 页</w:t>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argin-left:194.6pt;mso-position-horizontal:absolute;mso-position-vertical-relative:text;margin-top:-1.8pt;mso-position-vertical:absolute;width:90.3pt;height:13.6pt;mso-wrap-distance-left:9.0pt;mso-wrap-distance-top:0.0pt;mso-wrap-distance-right:9.0pt;mso-wrap-distance-bottom:0.0pt;visibility:visible;" filled="f" stroked="f" strokeweight="0.50pt">
              <v:textbox inset="0,0,0,0">
                <w:txbxContent>
                  <w:p>
                    <w:pPr>
                      <w:pStyle w:val="789"/>
                    </w:pPr>
                    <w:r>
                      <w:t xml:space="preserve">第 </w:t>
                    </w:r>
                    <w:r>
                      <w:fldChar w:fldCharType="begin"/>
                    </w:r>
                    <w:r>
                      <w:instrText xml:space="preserve"> PAGE  \* MERGEFORMAT    </w:instrText>
                    </w:r>
                    <w:r>
                      <w:fldChar w:fldCharType="separate"/>
                    </w:r>
                    <w:r>
                      <w:t xml:space="preserve">0</w:t>
                    </w:r>
                    <w:r>
                      <w:rPr>
                        <w:rFonts w:hint="eastAsia"/>
                      </w:rPr>
                      <w:t xml:space="preserve">49</w:t>
                    </w:r>
                    <w:r>
                      <w:t xml:space="preserve">3</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jc w:val="center"/>
      <w:rPr>
        <w:rFonts w:hint="eastAsia" w:ascii="宋体" w:hAnsi="宋体" w:eastAsia="宋体" w:cs="宋体"/>
        <w:color w:val="auto"/>
        <w:highlight w:val="none"/>
        <w:lang w:eastAsia="zh-CN"/>
      </w:rPr>
      <w:pBdr>
        <w:bottom w:val="single" w:color="auto" w:sz="4" w:space="0"/>
      </w:pBdr>
    </w:pPr>
    <w:r>
      <w:rPr>
        <w:rFonts w:hint="eastAsia" w:ascii="宋体" w:hAnsi="宋体" w:eastAsia="宋体" w:cs="宋体"/>
        <w:color w:val="auto"/>
        <w:highlight w:val="none"/>
      </w:rPr>
      <w:t xml:space="preserve">政府采购文件                                                  采购编号：</w:t>
    </w:r>
    <w:r>
      <w:rPr>
        <w:rFonts w:hint="eastAsia" w:ascii="宋体" w:hAnsi="宋体" w:cs="宋体"/>
        <w:color w:val="auto"/>
        <w:highlight w:val="none"/>
        <w:lang w:eastAsia="zh-CN"/>
      </w:rPr>
      <w:t xml:space="preserve">JSZC-320505-HXGW-C2026-0018</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8.%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4.%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tab"/>
      <w:lvlText w:val="3.%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1.%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1140" w:hanging="72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6">
    <w:multiLevelType w:val="hybridMultilevel"/>
    <w:lvl w:ilvl="0">
      <w:start w:val="1"/>
      <w:numFmt w:val="decimal"/>
      <w:isLgl w:val="false"/>
      <w:suff w:val="tab"/>
      <w:lvlText w:val="5.%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6.%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0.%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2.%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2.%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7.%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1" w:default="1">
    <w:name w:val="Normal"/>
    <w:next w:val="68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72">
    <w:name w:val="Heading 2"/>
    <w:basedOn w:val="671"/>
    <w:next w:val="671"/>
    <w:uiPriority w:val="0"/>
    <w:qFormat/>
    <w:pPr>
      <w:jc w:val="center"/>
      <w:keepNext/>
      <w:outlineLvl w:val="1"/>
    </w:pPr>
    <w:rPr>
      <w:rFonts w:ascii="宋体" w:hAnsi="宋体"/>
      <w:b/>
      <w:bCs/>
      <w:sz w:val="28"/>
      <w:szCs w:val="28"/>
    </w:rPr>
  </w:style>
  <w:style w:type="paragraph" w:styleId="673">
    <w:name w:val="Heading 3"/>
    <w:basedOn w:val="671"/>
    <w:next w:val="671"/>
    <w:uiPriority w:val="9"/>
    <w:unhideWhenUsed/>
    <w:qFormat/>
    <w:pPr>
      <w:keepLines/>
      <w:keepNext/>
      <w:spacing w:before="320" w:after="200"/>
      <w:outlineLvl w:val="2"/>
    </w:pPr>
    <w:rPr>
      <w:rFonts w:ascii="Arial" w:hAnsi="Arial" w:eastAsia="Arial" w:cs="Arial"/>
      <w:sz w:val="30"/>
      <w:szCs w:val="30"/>
    </w:rPr>
  </w:style>
  <w:style w:type="paragraph" w:styleId="674">
    <w:name w:val="Heading 4"/>
    <w:basedOn w:val="671"/>
    <w:next w:val="671"/>
    <w:uiPriority w:val="9"/>
    <w:unhideWhenUsed/>
    <w:qFormat/>
    <w:pPr>
      <w:keepLines/>
      <w:keepNext/>
      <w:spacing w:before="320" w:after="200"/>
      <w:outlineLvl w:val="3"/>
    </w:pPr>
    <w:rPr>
      <w:rFonts w:ascii="Arial" w:hAnsi="Arial" w:eastAsia="Arial" w:cs="Arial"/>
      <w:b/>
      <w:bCs/>
      <w:sz w:val="26"/>
      <w:szCs w:val="26"/>
    </w:rPr>
  </w:style>
  <w:style w:type="paragraph" w:styleId="675">
    <w:name w:val="Heading 5"/>
    <w:basedOn w:val="671"/>
    <w:next w:val="671"/>
    <w:uiPriority w:val="9"/>
    <w:unhideWhenUsed/>
    <w:qFormat/>
    <w:pPr>
      <w:keepLines/>
      <w:keepNext/>
      <w:spacing w:before="320" w:after="200"/>
      <w:outlineLvl w:val="4"/>
    </w:pPr>
    <w:rPr>
      <w:rFonts w:ascii="Arial" w:hAnsi="Arial" w:eastAsia="Arial" w:cs="Arial"/>
      <w:b/>
      <w:bCs/>
      <w:sz w:val="24"/>
      <w:szCs w:val="24"/>
    </w:rPr>
  </w:style>
  <w:style w:type="paragraph" w:styleId="676">
    <w:name w:val="Heading 6"/>
    <w:basedOn w:val="671"/>
    <w:next w:val="671"/>
    <w:uiPriority w:val="9"/>
    <w:unhideWhenUsed/>
    <w:qFormat/>
    <w:pPr>
      <w:keepLines/>
      <w:keepNext/>
      <w:spacing w:before="320" w:after="200"/>
      <w:outlineLvl w:val="5"/>
    </w:pPr>
    <w:rPr>
      <w:rFonts w:ascii="Arial" w:hAnsi="Arial" w:eastAsia="Arial" w:cs="Arial"/>
      <w:b/>
      <w:bCs/>
      <w:sz w:val="22"/>
      <w:szCs w:val="22"/>
    </w:rPr>
  </w:style>
  <w:style w:type="paragraph" w:styleId="677">
    <w:name w:val="Heading 7"/>
    <w:basedOn w:val="671"/>
    <w:next w:val="671"/>
    <w:uiPriority w:val="9"/>
    <w:unhideWhenUsed/>
    <w:qFormat/>
    <w:pPr>
      <w:keepLines/>
      <w:keepNext/>
      <w:spacing w:before="320" w:after="200"/>
      <w:outlineLvl w:val="6"/>
    </w:pPr>
    <w:rPr>
      <w:rFonts w:ascii="Arial" w:hAnsi="Arial" w:eastAsia="Arial" w:cs="Arial"/>
      <w:b/>
      <w:bCs/>
      <w:i/>
      <w:iCs/>
      <w:sz w:val="22"/>
      <w:szCs w:val="22"/>
    </w:rPr>
  </w:style>
  <w:style w:type="paragraph" w:styleId="678">
    <w:name w:val="Heading 8"/>
    <w:basedOn w:val="671"/>
    <w:next w:val="671"/>
    <w:uiPriority w:val="9"/>
    <w:unhideWhenUsed/>
    <w:qFormat/>
    <w:pPr>
      <w:keepLines/>
      <w:keepNext/>
      <w:spacing w:before="320" w:after="200"/>
      <w:outlineLvl w:val="7"/>
    </w:pPr>
    <w:rPr>
      <w:rFonts w:ascii="Arial" w:hAnsi="Arial" w:eastAsia="Arial" w:cs="Arial"/>
      <w:i/>
      <w:iCs/>
      <w:sz w:val="22"/>
      <w:szCs w:val="22"/>
    </w:rPr>
  </w:style>
  <w:style w:type="paragraph" w:styleId="679">
    <w:name w:val="Heading 9"/>
    <w:basedOn w:val="671"/>
    <w:next w:val="671"/>
    <w:uiPriority w:val="9"/>
    <w:unhideWhenUsed/>
    <w:qFormat/>
    <w:pPr>
      <w:keepLines/>
      <w:keepNext/>
      <w:spacing w:before="320" w:after="200"/>
      <w:outlineLvl w:val="8"/>
    </w:pPr>
    <w:rPr>
      <w:rFonts w:ascii="Arial" w:hAnsi="Arial" w:eastAsia="Arial" w:cs="Arial"/>
      <w:i/>
      <w:iCs/>
      <w:sz w:val="21"/>
      <w:szCs w:val="21"/>
    </w:rPr>
  </w:style>
  <w:style w:type="character" w:styleId="680" w:default="1">
    <w:name w:val="Default Paragraph Font"/>
    <w:uiPriority w:val="1"/>
    <w:semiHidden/>
    <w:unhideWhenUsed/>
    <w:qFormat/>
  </w:style>
  <w:style w:type="table" w:styleId="681" w:default="1">
    <w:name w:val="Normal Table"/>
    <w:uiPriority w:val="99"/>
    <w:semiHidden/>
    <w:unhideWhenUsed/>
    <w:qFormat/>
    <w:tblPr>
      <w:tblCellMar>
        <w:left w:w="108" w:type="dxa"/>
        <w:top w:w="0" w:type="dxa"/>
        <w:right w:w="108" w:type="dxa"/>
        <w:bottom w:w="0" w:type="dxa"/>
      </w:tblCellMar>
    </w:tblPr>
  </w:style>
  <w:style w:type="paragraph" w:styleId="682" w:customStyle="1">
    <w:name w:val="段"/>
    <w:next w:val="671"/>
    <w:uiPriority w:val="0"/>
    <w:qFormat/>
    <w:pPr>
      <w:ind w:firstLine="200"/>
      <w:jc w:val="both"/>
    </w:pPr>
    <w:rPr>
      <w:rFonts w:hint="default" w:ascii="宋体" w:hAnsi="Times New Roman" w:eastAsia="宋体" w:cs="Times New Roman"/>
      <w:sz w:val="21"/>
      <w:lang w:val="en-US" w:eastAsia="zh-CN" w:bidi="ar-SA"/>
    </w:rPr>
  </w:style>
  <w:style w:type="paragraph" w:styleId="683">
    <w:name w:val="toc 7"/>
    <w:basedOn w:val="671"/>
    <w:next w:val="671"/>
    <w:uiPriority w:val="39"/>
    <w:unhideWhenUsed/>
    <w:qFormat/>
    <w:pPr>
      <w:ind w:left="1701"/>
      <w:spacing w:after="57"/>
    </w:pPr>
  </w:style>
  <w:style w:type="paragraph" w:styleId="684">
    <w:name w:val="Normal Indent"/>
    <w:basedOn w:val="671"/>
    <w:next w:val="671"/>
    <w:uiPriority w:val="0"/>
    <w:qFormat/>
    <w:pPr>
      <w:ind w:left="420" w:firstLine="4772"/>
    </w:pPr>
  </w:style>
  <w:style w:type="paragraph" w:styleId="685">
    <w:name w:val="Caption"/>
    <w:basedOn w:val="671"/>
    <w:next w:val="67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6">
    <w:name w:val="Document Map"/>
    <w:basedOn w:val="671"/>
    <w:uiPriority w:val="0"/>
    <w:qFormat/>
    <w:pPr>
      <w:shd w:val="clear" w:color="auto" w:fill="000080"/>
    </w:pPr>
  </w:style>
  <w:style w:type="paragraph" w:styleId="687">
    <w:name w:val="annotation text"/>
    <w:basedOn w:val="671"/>
    <w:link w:val="739"/>
    <w:uiPriority w:val="99"/>
    <w:unhideWhenUsed/>
    <w:qFormat/>
    <w:pPr>
      <w:jc w:val="left"/>
    </w:pPr>
  </w:style>
  <w:style w:type="paragraph" w:styleId="688">
    <w:name w:val="Body Text"/>
    <w:basedOn w:val="671"/>
    <w:uiPriority w:val="0"/>
    <w:qFormat/>
    <w:pPr>
      <w:spacing w:after="120"/>
    </w:pPr>
    <w:rPr>
      <w:szCs w:val="24"/>
    </w:rPr>
  </w:style>
  <w:style w:type="paragraph" w:styleId="689">
    <w:name w:val="Body Text Indent"/>
    <w:basedOn w:val="671"/>
    <w:uiPriority w:val="0"/>
    <w:qFormat/>
    <w:pPr>
      <w:ind w:left="420" w:firstLine="1188"/>
      <w:spacing w:line="360" w:lineRule="exact"/>
    </w:pPr>
    <w:rPr>
      <w:szCs w:val="24"/>
    </w:rPr>
  </w:style>
  <w:style w:type="paragraph" w:styleId="690">
    <w:name w:val="toc 5"/>
    <w:basedOn w:val="671"/>
    <w:next w:val="671"/>
    <w:uiPriority w:val="39"/>
    <w:unhideWhenUsed/>
    <w:qFormat/>
    <w:pPr>
      <w:ind w:left="1134"/>
      <w:spacing w:after="57"/>
    </w:pPr>
  </w:style>
  <w:style w:type="paragraph" w:styleId="691">
    <w:name w:val="toc 3"/>
    <w:basedOn w:val="671"/>
    <w:next w:val="671"/>
    <w:uiPriority w:val="39"/>
    <w:unhideWhenUsed/>
    <w:qFormat/>
    <w:pPr>
      <w:ind w:left="567"/>
      <w:spacing w:after="57"/>
    </w:pPr>
  </w:style>
  <w:style w:type="paragraph" w:styleId="692">
    <w:name w:val="Plain Text"/>
    <w:basedOn w:val="671"/>
    <w:uiPriority w:val="0"/>
    <w:qFormat/>
    <w:rPr>
      <w:rFonts w:ascii="宋体" w:hAnsi="Courier New"/>
      <w:szCs w:val="20"/>
    </w:rPr>
  </w:style>
  <w:style w:type="paragraph" w:styleId="693">
    <w:name w:val="toc 8"/>
    <w:basedOn w:val="671"/>
    <w:next w:val="671"/>
    <w:uiPriority w:val="39"/>
    <w:unhideWhenUsed/>
    <w:qFormat/>
    <w:pPr>
      <w:ind w:left="1984"/>
      <w:spacing w:after="57"/>
    </w:pPr>
  </w:style>
  <w:style w:type="paragraph" w:styleId="694">
    <w:name w:val="endnote text"/>
    <w:basedOn w:val="671"/>
    <w:link w:val="740"/>
    <w:uiPriority w:val="99"/>
    <w:unhideWhenUsed/>
    <w:qFormat/>
    <w:rPr>
      <w:sz w:val="20"/>
    </w:rPr>
  </w:style>
  <w:style w:type="paragraph" w:styleId="695">
    <w:name w:val="Balloon Text"/>
    <w:basedOn w:val="671"/>
    <w:link w:val="741"/>
    <w:uiPriority w:val="99"/>
    <w:unhideWhenUsed/>
    <w:qFormat/>
    <w:rPr>
      <w:sz w:val="18"/>
      <w:szCs w:val="18"/>
    </w:rPr>
  </w:style>
  <w:style w:type="paragraph" w:styleId="696">
    <w:name w:val="Footer"/>
    <w:basedOn w:val="671"/>
    <w:uiPriority w:val="99"/>
    <w:unhideWhenUsed/>
    <w:qFormat/>
    <w:pPr>
      <w:jc w:val="left"/>
      <w:tabs>
        <w:tab w:val="center" w:pos="4153" w:leader="none"/>
        <w:tab w:val="right" w:pos="8306" w:leader="none"/>
      </w:tabs>
    </w:pPr>
    <w:rPr>
      <w:sz w:val="18"/>
    </w:rPr>
  </w:style>
  <w:style w:type="paragraph" w:styleId="697">
    <w:name w:val="envelope return"/>
    <w:basedOn w:val="671"/>
    <w:uiPriority w:val="0"/>
    <w:qFormat/>
    <w:rPr>
      <w:sz w:val="26"/>
      <w:szCs w:val="24"/>
    </w:rPr>
  </w:style>
  <w:style w:type="paragraph" w:styleId="698">
    <w:name w:val="Header"/>
    <w:basedOn w:val="671"/>
    <w:uiPriority w:val="99"/>
    <w:unhideWhenUsed/>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699">
    <w:name w:val="toc 1"/>
    <w:basedOn w:val="671"/>
    <w:next w:val="671"/>
    <w:uiPriority w:val="39"/>
    <w:unhideWhenUsed/>
    <w:qFormat/>
    <w:pPr>
      <w:spacing w:after="57"/>
    </w:pPr>
  </w:style>
  <w:style w:type="paragraph" w:styleId="700">
    <w:name w:val="toc 4"/>
    <w:basedOn w:val="671"/>
    <w:next w:val="671"/>
    <w:uiPriority w:val="39"/>
    <w:unhideWhenUsed/>
    <w:qFormat/>
    <w:pPr>
      <w:ind w:left="850"/>
      <w:spacing w:after="57"/>
    </w:pPr>
  </w:style>
  <w:style w:type="paragraph" w:styleId="701">
    <w:name w:val="Subtitle"/>
    <w:basedOn w:val="671"/>
    <w:next w:val="671"/>
    <w:link w:val="742"/>
    <w:uiPriority w:val="11"/>
    <w:qFormat/>
    <w:pPr>
      <w:spacing w:before="200" w:after="200"/>
    </w:pPr>
    <w:rPr>
      <w:sz w:val="24"/>
      <w:szCs w:val="24"/>
    </w:rPr>
  </w:style>
  <w:style w:type="paragraph" w:styleId="702">
    <w:name w:val="footnote text"/>
    <w:basedOn w:val="671"/>
    <w:link w:val="743"/>
    <w:uiPriority w:val="99"/>
    <w:unhideWhenUsed/>
    <w:qFormat/>
    <w:pPr>
      <w:spacing w:after="40"/>
    </w:pPr>
    <w:rPr>
      <w:sz w:val="18"/>
    </w:rPr>
  </w:style>
  <w:style w:type="paragraph" w:styleId="703">
    <w:name w:val="toc 6"/>
    <w:basedOn w:val="671"/>
    <w:next w:val="671"/>
    <w:uiPriority w:val="39"/>
    <w:unhideWhenUsed/>
    <w:qFormat/>
    <w:pPr>
      <w:ind w:left="1417"/>
      <w:spacing w:after="57"/>
    </w:pPr>
  </w:style>
  <w:style w:type="paragraph" w:styleId="704">
    <w:name w:val="table of figures"/>
    <w:basedOn w:val="671"/>
    <w:next w:val="671"/>
    <w:uiPriority w:val="99"/>
    <w:unhideWhenUsed/>
    <w:qFormat/>
  </w:style>
  <w:style w:type="paragraph" w:styleId="705">
    <w:name w:val="toc 2"/>
    <w:basedOn w:val="671"/>
    <w:next w:val="671"/>
    <w:uiPriority w:val="39"/>
    <w:unhideWhenUsed/>
    <w:qFormat/>
    <w:pPr>
      <w:ind w:left="283"/>
      <w:spacing w:after="57"/>
    </w:pPr>
  </w:style>
  <w:style w:type="paragraph" w:styleId="706">
    <w:name w:val="toc 9"/>
    <w:basedOn w:val="671"/>
    <w:next w:val="671"/>
    <w:uiPriority w:val="39"/>
    <w:unhideWhenUsed/>
    <w:qFormat/>
    <w:pPr>
      <w:ind w:left="2268"/>
      <w:spacing w:after="57"/>
    </w:pPr>
  </w:style>
  <w:style w:type="paragraph" w:styleId="707">
    <w:name w:val="Normal (Web)"/>
    <w:basedOn w:val="671"/>
    <w:uiPriority w:val="99"/>
    <w:qFormat/>
    <w:pPr>
      <w:jc w:val="left"/>
      <w:spacing w:before="100" w:beforeAutospacing="1" w:after="100" w:afterAutospacing="1"/>
      <w:widowControl/>
    </w:pPr>
    <w:rPr>
      <w:rFonts w:ascii="宋体" w:hAnsi="宋体" w:cs="宋体"/>
      <w:sz w:val="24"/>
    </w:rPr>
  </w:style>
  <w:style w:type="paragraph" w:styleId="708">
    <w:name w:val="Title"/>
    <w:basedOn w:val="671"/>
    <w:next w:val="671"/>
    <w:link w:val="744"/>
    <w:uiPriority w:val="10"/>
    <w:qFormat/>
    <w:pPr>
      <w:contextualSpacing/>
      <w:spacing w:before="300" w:after="200"/>
    </w:pPr>
    <w:rPr>
      <w:sz w:val="48"/>
      <w:szCs w:val="48"/>
    </w:rPr>
  </w:style>
  <w:style w:type="paragraph" w:styleId="709">
    <w:name w:val="annotation subject"/>
    <w:basedOn w:val="687"/>
    <w:next w:val="687"/>
    <w:link w:val="745"/>
    <w:uiPriority w:val="99"/>
    <w:unhideWhenUsed/>
    <w:qFormat/>
    <w:rPr>
      <w:b/>
      <w:bCs/>
    </w:rPr>
  </w:style>
  <w:style w:type="paragraph" w:styleId="710">
    <w:name w:val="Body Text First Indent 2"/>
    <w:basedOn w:val="689"/>
    <w:next w:val="684"/>
    <w:uiPriority w:val="0"/>
    <w:qFormat/>
    <w:pPr>
      <w:ind w:left="200" w:firstLine="420"/>
      <w:spacing w:after="120"/>
    </w:pPr>
    <w:rPr>
      <w:rFonts w:ascii="Calibri" w:hAnsi="Calibri"/>
    </w:rPr>
  </w:style>
  <w:style w:type="table" w:styleId="71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2">
    <w:name w:val="Strong"/>
    <w:basedOn w:val="680"/>
    <w:uiPriority w:val="22"/>
    <w:qFormat/>
    <w:rPr>
      <w:b/>
    </w:rPr>
  </w:style>
  <w:style w:type="character" w:styleId="713">
    <w:name w:val="endnote reference"/>
    <w:uiPriority w:val="99"/>
    <w:unhideWhenUsed/>
    <w:qFormat/>
    <w:rPr>
      <w:vertAlign w:val="superscript"/>
    </w:rPr>
  </w:style>
  <w:style w:type="character" w:styleId="714">
    <w:name w:val="FollowedHyperlink"/>
    <w:uiPriority w:val="99"/>
    <w:unhideWhenUsed/>
    <w:qFormat/>
    <w:rPr>
      <w:color w:val="333333"/>
      <w:u w:val="none"/>
    </w:rPr>
  </w:style>
  <w:style w:type="character" w:styleId="715">
    <w:name w:val="Emphasis"/>
    <w:uiPriority w:val="20"/>
    <w:qFormat/>
  </w:style>
  <w:style w:type="character" w:styleId="716">
    <w:name w:val="Hyperlink"/>
    <w:uiPriority w:val="99"/>
    <w:unhideWhenUsed/>
    <w:qFormat/>
    <w:rPr>
      <w:color w:val="333333"/>
      <w:u w:val="none"/>
    </w:rPr>
  </w:style>
  <w:style w:type="character" w:styleId="717">
    <w:name w:val="annotation reference"/>
    <w:uiPriority w:val="99"/>
    <w:unhideWhenUsed/>
    <w:qFormat/>
    <w:rPr>
      <w:sz w:val="21"/>
      <w:szCs w:val="21"/>
    </w:rPr>
  </w:style>
  <w:style w:type="character" w:styleId="718">
    <w:name w:val="footnote reference"/>
    <w:uiPriority w:val="99"/>
    <w:unhideWhenUsed/>
    <w:qFormat/>
    <w:rPr>
      <w:vertAlign w:val="superscript"/>
    </w:rPr>
  </w:style>
  <w:style w:type="table" w:styleId="719" w:customStyle="1">
    <w:name w:val="Plain Table 1"/>
    <w:basedOn w:val="68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customStyle="1">
    <w:name w:val="Plain Table 2"/>
    <w:basedOn w:val="68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customStyle="1">
    <w:name w:val="Plain Table 3"/>
    <w:basedOn w:val="6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customStyle="1">
    <w:name w:val="Plain Table 4"/>
    <w:basedOn w:val="6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customStyle="1">
    <w:name w:val="Plain Table 5"/>
    <w:basedOn w:val="6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4" w:customStyle="1">
    <w:name w:val="Grid Table 1 Light"/>
    <w:basedOn w:val="68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5" w:customStyle="1">
    <w:name w:val="Grid Table 2"/>
    <w:basedOn w:val="6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6" w:customStyle="1">
    <w:name w:val="Grid Table 3"/>
    <w:basedOn w:val="6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4"/>
    <w:basedOn w:val="68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8" w:customStyle="1">
    <w:name w:val="Grid Table 5 Dark"/>
    <w:basedOn w:val="6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9" w:customStyle="1">
    <w:name w:val="Grid Table 6 Colorful"/>
    <w:basedOn w:val="68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0" w:customStyle="1">
    <w:name w:val="Grid Table 7 Colorful"/>
    <w:basedOn w:val="68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1" w:customStyle="1">
    <w:name w:val="List Table 1 Light"/>
    <w:basedOn w:val="68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2" w:customStyle="1">
    <w:name w:val="List Table 2"/>
    <w:basedOn w:val="68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3" w:customStyle="1">
    <w:name w:val="List Table 3"/>
    <w:basedOn w:val="6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4" w:customStyle="1">
    <w:name w:val="List Table 4"/>
    <w:basedOn w:val="6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5" w:customStyle="1">
    <w:name w:val="List Table 5 Dark"/>
    <w:basedOn w:val="68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36" w:customStyle="1">
    <w:name w:val="List Table 6 Colorful"/>
    <w:basedOn w:val="68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37" w:customStyle="1">
    <w:name w:val="List Table 7 Colorful"/>
    <w:basedOn w:val="68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38" w:customStyle="1">
    <w:name w:val="TOC Heading"/>
    <w:uiPriority w:val="39"/>
    <w:unhideWhenUsed/>
    <w:qFormat/>
    <w:rPr>
      <w:rFonts w:hint="default" w:ascii="Times New Roman" w:hAnsi="Times New Roman" w:eastAsia="宋体" w:cs="Times New Roman"/>
    </w:rPr>
  </w:style>
  <w:style w:type="character" w:styleId="739" w:customStyle="1">
    <w:name w:val="批注文字 字符1"/>
    <w:link w:val="687"/>
    <w:uiPriority w:val="99"/>
    <w:semiHidden/>
    <w:qFormat/>
    <w:rPr>
      <w:sz w:val="21"/>
      <w:szCs w:val="22"/>
    </w:rPr>
  </w:style>
  <w:style w:type="character" w:styleId="740" w:customStyle="1">
    <w:name w:val="尾注文本 字符"/>
    <w:link w:val="694"/>
    <w:uiPriority w:val="99"/>
    <w:qFormat/>
    <w:rPr>
      <w:sz w:val="20"/>
    </w:rPr>
  </w:style>
  <w:style w:type="character" w:styleId="741" w:customStyle="1">
    <w:name w:val="批注框文本 字符"/>
    <w:link w:val="695"/>
    <w:uiPriority w:val="99"/>
    <w:semiHidden/>
    <w:qFormat/>
    <w:rPr>
      <w:sz w:val="18"/>
      <w:szCs w:val="18"/>
    </w:rPr>
  </w:style>
  <w:style w:type="character" w:styleId="742" w:customStyle="1">
    <w:name w:val="副标题 字符"/>
    <w:link w:val="701"/>
    <w:uiPriority w:val="11"/>
    <w:qFormat/>
    <w:rPr>
      <w:sz w:val="24"/>
      <w:szCs w:val="24"/>
    </w:rPr>
  </w:style>
  <w:style w:type="character" w:styleId="743" w:customStyle="1">
    <w:name w:val="脚注文本 字符"/>
    <w:link w:val="702"/>
    <w:uiPriority w:val="99"/>
    <w:qFormat/>
    <w:rPr>
      <w:sz w:val="18"/>
    </w:rPr>
  </w:style>
  <w:style w:type="character" w:styleId="744" w:customStyle="1">
    <w:name w:val="标题 字符"/>
    <w:link w:val="708"/>
    <w:uiPriority w:val="10"/>
    <w:qFormat/>
    <w:rPr>
      <w:sz w:val="48"/>
      <w:szCs w:val="48"/>
    </w:rPr>
  </w:style>
  <w:style w:type="character" w:styleId="745" w:customStyle="1">
    <w:name w:val="批注主题 字符1"/>
    <w:link w:val="709"/>
    <w:uiPriority w:val="99"/>
    <w:semiHidden/>
    <w:qFormat/>
    <w:rPr>
      <w:b/>
      <w:bCs/>
      <w:sz w:val="21"/>
      <w:szCs w:val="22"/>
    </w:rPr>
  </w:style>
  <w:style w:type="paragraph" w:styleId="746" w:customStyle="1">
    <w:name w:val="正文1"/>
    <w:basedOn w:val="671"/>
    <w:next w:val="671"/>
    <w:uiPriority w:val="0"/>
    <w:qFormat/>
    <w:pPr>
      <w:ind w:left="420" w:firstLine="527"/>
      <w:spacing w:before="120" w:line="360" w:lineRule="auto"/>
    </w:pPr>
    <w:rPr>
      <w:rFonts w:ascii="宋体" w:hAnsi="宋体"/>
      <w:szCs w:val="20"/>
    </w:rPr>
  </w:style>
  <w:style w:type="character" w:styleId="747" w:customStyle="1">
    <w:name w:val="font51"/>
    <w:uiPriority w:val="0"/>
    <w:qFormat/>
    <w:rPr>
      <w:rFonts w:ascii="Arial" w:hAnsi="Arial" w:cs="Arial"/>
      <w:color w:val="000000"/>
      <w:sz w:val="21"/>
      <w:szCs w:val="21"/>
      <w:u w:val="none"/>
    </w:rPr>
  </w:style>
  <w:style w:type="character" w:styleId="748" w:customStyle="1">
    <w:name w:val="font01"/>
    <w:uiPriority w:val="0"/>
    <w:qFormat/>
    <w:rPr>
      <w:rFonts w:hint="eastAsia" w:ascii="宋体" w:hAnsi="宋体" w:eastAsia="宋体" w:cs="宋体"/>
      <w:color w:val="000000"/>
      <w:sz w:val="24"/>
      <w:szCs w:val="24"/>
      <w:u w:val="none"/>
    </w:rPr>
  </w:style>
  <w:style w:type="character" w:styleId="749" w:customStyle="1">
    <w:name w:val="NormalCharacter"/>
    <w:uiPriority w:val="0"/>
    <w:semiHidden/>
    <w:qFormat/>
  </w:style>
  <w:style w:type="character" w:styleId="750" w:customStyle="1">
    <w:name w:val="l-btn-text36"/>
    <w:uiPriority w:val="0"/>
    <w:qFormat/>
    <w:rPr>
      <w:rFonts w:ascii="Times New Roman" w:hAnsi="Times New Roman" w:eastAsia="宋体" w:cs="Times New Roman"/>
    </w:rPr>
  </w:style>
  <w:style w:type="character" w:styleId="751" w:customStyle="1">
    <w:name w:val="正文文本缩进 3 Char"/>
    <w:uiPriority w:val="99"/>
    <w:semiHidden/>
    <w:qFormat/>
    <w:rPr>
      <w:rFonts w:ascii="Times New Roman" w:hAnsi="Times New Roman" w:eastAsia="宋体" w:cs="Times New Roman"/>
      <w:sz w:val="16"/>
      <w:szCs w:val="16"/>
    </w:rPr>
  </w:style>
  <w:style w:type="character" w:styleId="752" w:customStyle="1">
    <w:name w:val="l-btn-text35"/>
    <w:uiPriority w:val="0"/>
    <w:qFormat/>
    <w:rPr>
      <w:rFonts w:ascii="Times New Roman" w:hAnsi="Times New Roman" w:eastAsia="宋体" w:cs="Times New Roman"/>
    </w:rPr>
  </w:style>
  <w:style w:type="character" w:styleId="753" w:customStyle="1">
    <w:name w:val="l-btn-text33"/>
    <w:uiPriority w:val="0"/>
    <w:qFormat/>
    <w:rPr>
      <w:rFonts w:ascii="Times New Roman" w:hAnsi="Times New Roman" w:eastAsia="宋体" w:cs="Times New Roman"/>
    </w:rPr>
  </w:style>
  <w:style w:type="character" w:styleId="754" w:customStyle="1">
    <w:name w:val="l-btn-left"/>
    <w:uiPriority w:val="0"/>
    <w:qFormat/>
    <w:rPr>
      <w:rFonts w:ascii="Times New Roman" w:hAnsi="Times New Roman" w:eastAsia="宋体" w:cs="Times New Roman"/>
    </w:rPr>
  </w:style>
  <w:style w:type="character" w:styleId="755" w:customStyle="1">
    <w:name w:val="layui-this"/>
    <w:uiPriority w:val="0"/>
    <w:qFormat/>
    <w:rPr>
      <w:rFonts w:ascii="Times New Roman" w:hAnsi="Times New Roman" w:eastAsia="宋体" w:cs="Times New Roman"/>
      <w:shd w:val="clear" w:color="auto" w:fill="ffffff"/>
    </w:rPr>
  </w:style>
  <w:style w:type="character" w:styleId="756" w:customStyle="1">
    <w:name w:val="first-child"/>
    <w:uiPriority w:val="0"/>
    <w:qFormat/>
    <w:rPr>
      <w:rFonts w:ascii="Times New Roman" w:hAnsi="Times New Roman" w:eastAsia="宋体" w:cs="Times New Roman"/>
    </w:rPr>
  </w:style>
  <w:style w:type="character" w:styleId="757" w:customStyle="1">
    <w:name w:val="正文文本 Char"/>
    <w:uiPriority w:val="99"/>
    <w:semiHidden/>
    <w:qFormat/>
    <w:rPr>
      <w:rFonts w:ascii="Calibri" w:hAnsi="Calibri" w:eastAsia="宋体" w:cs="Times New Roman"/>
      <w:szCs w:val="24"/>
    </w:rPr>
  </w:style>
  <w:style w:type="character" w:styleId="758" w:customStyle="1">
    <w:name w:val="NormalCharacter1"/>
    <w:uiPriority w:val="0"/>
    <w:qFormat/>
    <w:rPr>
      <w:rFonts w:ascii="Calibri" w:hAnsi="Calibri" w:eastAsia="宋体" w:cs="Times New Roman"/>
      <w:sz w:val="21"/>
      <w:szCs w:val="22"/>
      <w:lang w:val="en-US" w:eastAsia="zh-CN" w:bidi="ar-SA"/>
    </w:rPr>
  </w:style>
  <w:style w:type="character" w:styleId="759" w:customStyle="1">
    <w:name w:val="批注引用1"/>
    <w:uiPriority w:val="99"/>
    <w:unhideWhenUsed/>
    <w:qFormat/>
    <w:rPr>
      <w:sz w:val="21"/>
      <w:szCs w:val="21"/>
    </w:rPr>
  </w:style>
  <w:style w:type="character" w:styleId="760" w:customStyle="1">
    <w:name w:val="超链接1"/>
    <w:uiPriority w:val="99"/>
    <w:unhideWhenUsed/>
    <w:qFormat/>
    <w:rPr>
      <w:rFonts w:ascii="Times New Roman" w:hAnsi="Times New Roman" w:eastAsia="宋体" w:cs="Times New Roman"/>
      <w:color w:val="0066cc"/>
      <w:sz w:val="21"/>
      <w:szCs w:val="21"/>
      <w:u w:val="none"/>
    </w:rPr>
  </w:style>
  <w:style w:type="character" w:styleId="761" w:customStyle="1">
    <w:name w:val="强调1"/>
    <w:uiPriority w:val="20"/>
    <w:qFormat/>
  </w:style>
  <w:style w:type="character" w:styleId="762" w:customStyle="1">
    <w:name w:val="批注主题 字符"/>
    <w:link w:val="763"/>
    <w:uiPriority w:val="99"/>
    <w:semiHidden/>
    <w:qFormat/>
    <w:rPr>
      <w:b/>
      <w:bCs/>
      <w:sz w:val="21"/>
      <w:szCs w:val="22"/>
    </w:rPr>
  </w:style>
  <w:style w:type="paragraph" w:styleId="763" w:customStyle="1">
    <w:name w:val="批注主题1"/>
    <w:basedOn w:val="764"/>
    <w:next w:val="764"/>
    <w:link w:val="762"/>
    <w:uiPriority w:val="99"/>
    <w:unhideWhenUsed/>
    <w:qFormat/>
    <w:rPr>
      <w:b/>
      <w:bCs/>
    </w:rPr>
  </w:style>
  <w:style w:type="paragraph" w:styleId="764" w:customStyle="1">
    <w:name w:val="批注文字1"/>
    <w:basedOn w:val="671"/>
    <w:link w:val="765"/>
    <w:uiPriority w:val="99"/>
    <w:unhideWhenUsed/>
    <w:qFormat/>
    <w:pPr>
      <w:jc w:val="left"/>
    </w:pPr>
  </w:style>
  <w:style w:type="character" w:styleId="765" w:customStyle="1">
    <w:name w:val="批注文字 字符"/>
    <w:link w:val="764"/>
    <w:uiPriority w:val="99"/>
    <w:qFormat/>
    <w:rPr>
      <w:sz w:val="21"/>
      <w:szCs w:val="22"/>
    </w:rPr>
  </w:style>
  <w:style w:type="character" w:styleId="766" w:customStyle="1">
    <w:name w:val="正文文本 字符"/>
    <w:link w:val="767"/>
    <w:uiPriority w:val="99"/>
    <w:qFormat/>
    <w:rPr>
      <w:rFonts w:ascii="Times New Roman" w:hAnsi="Times New Roman" w:eastAsia="宋体" w:cs="Times New Roman"/>
      <w:szCs w:val="24"/>
    </w:rPr>
  </w:style>
  <w:style w:type="paragraph" w:styleId="767" w:customStyle="1">
    <w:name w:val="正文文本1"/>
    <w:basedOn w:val="671"/>
    <w:next w:val="768"/>
    <w:link w:val="766"/>
    <w:uiPriority w:val="99"/>
    <w:unhideWhenUsed/>
    <w:qFormat/>
    <w:pPr>
      <w:spacing w:after="120"/>
    </w:pPr>
    <w:rPr>
      <w:szCs w:val="24"/>
    </w:rPr>
  </w:style>
  <w:style w:type="paragraph" w:styleId="768" w:customStyle="1">
    <w:name w:val="正文缩进1"/>
    <w:next w:val="671"/>
    <w:uiPriority w:val="0"/>
    <w:qFormat/>
    <w:pPr>
      <w:ind w:firstLine="420"/>
      <w:widowControl w:val="off"/>
    </w:pPr>
    <w:rPr>
      <w:rFonts w:hint="default" w:ascii="Times New Roman" w:hAnsi="Times New Roman" w:eastAsia="宋体" w:cs="Times New Roman"/>
      <w:sz w:val="24"/>
      <w:lang w:val="en-US" w:eastAsia="zh-CN" w:bidi="ar-SA"/>
    </w:rPr>
  </w:style>
  <w:style w:type="character" w:styleId="769" w:customStyle="1">
    <w:name w:val="正文缩进 字符"/>
    <w:link w:val="770"/>
    <w:uiPriority w:val="0"/>
    <w:qFormat/>
    <w:rPr>
      <w:rFonts w:ascii="Times New Roman" w:hAnsi="Times New Roman" w:eastAsia="楷体_GB2312" w:cs="Times New Roman"/>
      <w:sz w:val="24"/>
      <w:szCs w:val="20"/>
    </w:rPr>
  </w:style>
  <w:style w:type="paragraph" w:styleId="770" w:customStyle="1">
    <w:name w:val="正文缩进11"/>
    <w:basedOn w:val="671"/>
    <w:link w:val="769"/>
    <w:uiPriority w:val="99"/>
    <w:unhideWhenUsed/>
    <w:qFormat/>
    <w:pPr>
      <w:ind w:firstLine="420"/>
      <w:jc w:val="left"/>
    </w:pPr>
    <w:rPr>
      <w:rFonts w:eastAsia="楷体_GB2312"/>
      <w:sz w:val="24"/>
      <w:szCs w:val="20"/>
    </w:rPr>
  </w:style>
  <w:style w:type="character" w:styleId="771" w:customStyle="1">
    <w:name w:val="默认段落字体1"/>
    <w:uiPriority w:val="1"/>
    <w:unhideWhenUsed/>
    <w:qFormat/>
  </w:style>
  <w:style w:type="character" w:styleId="772" w:customStyle="1">
    <w:name w:val="Footer Char"/>
    <w:uiPriority w:val="99"/>
    <w:qFormat/>
  </w:style>
  <w:style w:type="character" w:styleId="773" w:customStyle="1">
    <w:name w:val="明显引用 字符"/>
    <w:link w:val="774"/>
    <w:uiPriority w:val="30"/>
    <w:qFormat/>
    <w:rPr>
      <w:i/>
    </w:rPr>
  </w:style>
  <w:style w:type="paragraph" w:styleId="774">
    <w:name w:val="Intense Quote"/>
    <w:basedOn w:val="671"/>
    <w:next w:val="671"/>
    <w:link w:val="7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customStyle="1">
    <w:name w:val="Footnote Text Char"/>
    <w:uiPriority w:val="99"/>
    <w:qFormat/>
    <w:rPr>
      <w:sz w:val="18"/>
    </w:rPr>
  </w:style>
  <w:style w:type="character" w:styleId="776" w:customStyle="1">
    <w:name w:val="Caption Char"/>
    <w:uiPriority w:val="99"/>
    <w:qFormat/>
  </w:style>
  <w:style w:type="character" w:styleId="777" w:customStyle="1">
    <w:name w:val="Header Char"/>
    <w:uiPriority w:val="99"/>
    <w:qFormat/>
  </w:style>
  <w:style w:type="character" w:styleId="778" w:customStyle="1">
    <w:name w:val="Quote Char"/>
    <w:uiPriority w:val="29"/>
    <w:qFormat/>
    <w:rPr>
      <w:i/>
    </w:rPr>
  </w:style>
  <w:style w:type="character" w:styleId="779" w:customStyle="1">
    <w:name w:val="Title Char"/>
    <w:uiPriority w:val="10"/>
    <w:qFormat/>
    <w:rPr>
      <w:sz w:val="48"/>
      <w:szCs w:val="48"/>
    </w:rPr>
  </w:style>
  <w:style w:type="character" w:styleId="780" w:customStyle="1">
    <w:name w:val="Heading 9 Char"/>
    <w:uiPriority w:val="9"/>
    <w:qFormat/>
    <w:rPr>
      <w:rFonts w:ascii="Arial" w:hAnsi="Arial" w:eastAsia="Arial" w:cs="Arial"/>
      <w:i/>
      <w:iCs/>
      <w:sz w:val="21"/>
      <w:szCs w:val="21"/>
    </w:rPr>
  </w:style>
  <w:style w:type="character" w:styleId="781" w:customStyle="1">
    <w:name w:val="Heading 8 Char"/>
    <w:uiPriority w:val="9"/>
    <w:qFormat/>
    <w:rPr>
      <w:rFonts w:ascii="Arial" w:hAnsi="Arial" w:eastAsia="Arial" w:cs="Arial"/>
      <w:i/>
      <w:iCs/>
      <w:sz w:val="22"/>
      <w:szCs w:val="22"/>
    </w:rPr>
  </w:style>
  <w:style w:type="character" w:styleId="782" w:customStyle="1">
    <w:name w:val="Heading 6 Char"/>
    <w:uiPriority w:val="9"/>
    <w:qFormat/>
    <w:rPr>
      <w:rFonts w:ascii="Arial" w:hAnsi="Arial" w:eastAsia="Arial" w:cs="Arial"/>
      <w:b/>
      <w:bCs/>
      <w:sz w:val="22"/>
      <w:szCs w:val="22"/>
    </w:rPr>
  </w:style>
  <w:style w:type="character" w:styleId="783" w:customStyle="1">
    <w:name w:val="Heading 5 Char"/>
    <w:uiPriority w:val="9"/>
    <w:qFormat/>
    <w:rPr>
      <w:rFonts w:ascii="Arial" w:hAnsi="Arial" w:eastAsia="Arial" w:cs="Arial"/>
      <w:b/>
      <w:bCs/>
      <w:sz w:val="24"/>
      <w:szCs w:val="24"/>
    </w:rPr>
  </w:style>
  <w:style w:type="character" w:styleId="784" w:customStyle="1">
    <w:name w:val="Heading 3 Char"/>
    <w:uiPriority w:val="9"/>
    <w:qFormat/>
    <w:rPr>
      <w:rFonts w:ascii="Arial" w:hAnsi="Arial" w:eastAsia="Arial" w:cs="Arial"/>
      <w:sz w:val="30"/>
      <w:szCs w:val="30"/>
    </w:rPr>
  </w:style>
  <w:style w:type="character" w:styleId="785" w:customStyle="1">
    <w:name w:val="Heading 1 Char"/>
    <w:uiPriority w:val="9"/>
    <w:qFormat/>
    <w:rPr>
      <w:rFonts w:ascii="Arial" w:hAnsi="Arial" w:eastAsia="Arial" w:cs="Arial"/>
      <w:sz w:val="40"/>
      <w:szCs w:val="40"/>
    </w:rPr>
  </w:style>
  <w:style w:type="character" w:styleId="786" w:customStyle="1">
    <w:name w:val="页眉 字符"/>
    <w:link w:val="787"/>
    <w:uiPriority w:val="99"/>
    <w:qFormat/>
  </w:style>
  <w:style w:type="paragraph" w:styleId="787" w:customStyle="1">
    <w:name w:val="页眉1"/>
    <w:basedOn w:val="671"/>
    <w:link w:val="786"/>
    <w:uiPriority w:val="99"/>
    <w:unhideWhenUsed/>
    <w:qFormat/>
    <w:pPr>
      <w:tabs>
        <w:tab w:val="center" w:pos="7143" w:leader="none"/>
        <w:tab w:val="right" w:pos="14287" w:leader="none"/>
      </w:tabs>
    </w:pPr>
  </w:style>
  <w:style w:type="character" w:styleId="788" w:customStyle="1">
    <w:name w:val="页脚 字符"/>
    <w:link w:val="789"/>
    <w:uiPriority w:val="99"/>
    <w:qFormat/>
  </w:style>
  <w:style w:type="paragraph" w:styleId="789" w:customStyle="1">
    <w:name w:val="页脚1"/>
    <w:basedOn w:val="671"/>
    <w:link w:val="788"/>
    <w:uiPriority w:val="99"/>
    <w:unhideWhenUsed/>
    <w:qFormat/>
    <w:pPr>
      <w:tabs>
        <w:tab w:val="center" w:pos="7143" w:leader="none"/>
        <w:tab w:val="right" w:pos="14287" w:leader="none"/>
      </w:tabs>
    </w:pPr>
  </w:style>
  <w:style w:type="character" w:styleId="790" w:customStyle="1">
    <w:name w:val="标题 9 字符"/>
    <w:link w:val="791"/>
    <w:uiPriority w:val="9"/>
    <w:qFormat/>
    <w:rPr>
      <w:rFonts w:ascii="Arial" w:hAnsi="Arial" w:eastAsia="Arial" w:cs="Arial"/>
      <w:i/>
      <w:iCs/>
      <w:sz w:val="21"/>
      <w:szCs w:val="21"/>
    </w:rPr>
  </w:style>
  <w:style w:type="paragraph" w:styleId="791" w:customStyle="1">
    <w:name w:val="标题 91"/>
    <w:basedOn w:val="671"/>
    <w:next w:val="671"/>
    <w:link w:val="790"/>
    <w:uiPriority w:val="9"/>
    <w:unhideWhenUsed/>
    <w:qFormat/>
    <w:pPr>
      <w:keepLines/>
      <w:keepNext/>
      <w:spacing w:before="320" w:after="200"/>
      <w:outlineLvl w:val="8"/>
    </w:pPr>
    <w:rPr>
      <w:rFonts w:ascii="Arial" w:hAnsi="Arial" w:eastAsia="Arial" w:cs="Arial"/>
      <w:i/>
      <w:iCs/>
      <w:szCs w:val="21"/>
    </w:rPr>
  </w:style>
  <w:style w:type="character" w:styleId="792" w:customStyle="1">
    <w:name w:val="标题 8 字符"/>
    <w:link w:val="793"/>
    <w:uiPriority w:val="9"/>
    <w:qFormat/>
    <w:rPr>
      <w:rFonts w:ascii="Arial" w:hAnsi="Arial" w:eastAsia="Arial" w:cs="Arial"/>
      <w:i/>
      <w:iCs/>
      <w:sz w:val="22"/>
      <w:szCs w:val="22"/>
    </w:rPr>
  </w:style>
  <w:style w:type="paragraph" w:styleId="793" w:customStyle="1">
    <w:name w:val="标题 81"/>
    <w:basedOn w:val="671"/>
    <w:next w:val="671"/>
    <w:link w:val="792"/>
    <w:uiPriority w:val="9"/>
    <w:unhideWhenUsed/>
    <w:qFormat/>
    <w:pPr>
      <w:keepLines/>
      <w:keepNext/>
      <w:spacing w:before="320" w:after="200"/>
      <w:outlineLvl w:val="7"/>
    </w:pPr>
    <w:rPr>
      <w:rFonts w:ascii="Arial" w:hAnsi="Arial" w:eastAsia="Arial" w:cs="Arial"/>
      <w:i/>
      <w:iCs/>
      <w:sz w:val="22"/>
    </w:rPr>
  </w:style>
  <w:style w:type="character" w:styleId="794" w:customStyle="1">
    <w:name w:val="页码1"/>
    <w:uiPriority w:val="99"/>
    <w:unhideWhenUsed/>
    <w:qFormat/>
    <w:rPr>
      <w:rFonts w:ascii="Tahoma" w:hAnsi="Tahoma" w:eastAsia="宋体" w:cs="Times New Roman"/>
      <w:sz w:val="24"/>
      <w:szCs w:val="24"/>
      <w:lang w:val="en-US" w:eastAsia="zh-CN" w:bidi="ar-SA"/>
    </w:rPr>
  </w:style>
  <w:style w:type="character" w:styleId="795" w:customStyle="1">
    <w:name w:val="标题 5 字符"/>
    <w:link w:val="796"/>
    <w:uiPriority w:val="9"/>
    <w:qFormat/>
    <w:rPr>
      <w:rFonts w:ascii="Arial" w:hAnsi="Arial" w:eastAsia="Arial" w:cs="Arial"/>
      <w:b/>
      <w:bCs/>
      <w:sz w:val="24"/>
      <w:szCs w:val="24"/>
    </w:rPr>
  </w:style>
  <w:style w:type="paragraph" w:styleId="796" w:customStyle="1">
    <w:name w:val="标题 51"/>
    <w:basedOn w:val="671"/>
    <w:next w:val="671"/>
    <w:link w:val="795"/>
    <w:uiPriority w:val="9"/>
    <w:unhideWhenUsed/>
    <w:qFormat/>
    <w:pPr>
      <w:keepLines/>
      <w:keepNext/>
      <w:spacing w:before="320" w:after="200"/>
      <w:outlineLvl w:val="4"/>
    </w:pPr>
    <w:rPr>
      <w:rFonts w:ascii="Arial" w:hAnsi="Arial" w:eastAsia="Arial" w:cs="Arial"/>
      <w:b/>
      <w:bCs/>
      <w:sz w:val="24"/>
      <w:szCs w:val="24"/>
    </w:rPr>
  </w:style>
  <w:style w:type="character" w:styleId="797" w:customStyle="1">
    <w:name w:val="标题 4 字符"/>
    <w:link w:val="798"/>
    <w:uiPriority w:val="9"/>
    <w:qFormat/>
    <w:rPr>
      <w:rFonts w:ascii="Arial" w:hAnsi="Arial" w:eastAsia="Arial" w:cs="Arial"/>
      <w:b/>
      <w:bCs/>
      <w:sz w:val="26"/>
      <w:szCs w:val="26"/>
    </w:rPr>
  </w:style>
  <w:style w:type="paragraph" w:styleId="798" w:customStyle="1">
    <w:name w:val="标题 41"/>
    <w:basedOn w:val="671"/>
    <w:next w:val="671"/>
    <w:link w:val="797"/>
    <w:uiPriority w:val="9"/>
    <w:unhideWhenUsed/>
    <w:qFormat/>
    <w:pPr>
      <w:keepLines/>
      <w:keepNext/>
      <w:spacing w:before="320" w:after="200"/>
      <w:outlineLvl w:val="3"/>
    </w:pPr>
    <w:rPr>
      <w:rFonts w:ascii="Arial" w:hAnsi="Arial" w:eastAsia="Arial" w:cs="Arial"/>
      <w:b/>
      <w:bCs/>
      <w:sz w:val="26"/>
      <w:szCs w:val="26"/>
    </w:rPr>
  </w:style>
  <w:style w:type="character" w:styleId="799" w:customStyle="1">
    <w:name w:val="标题 3 字符"/>
    <w:link w:val="800"/>
    <w:uiPriority w:val="9"/>
    <w:qFormat/>
    <w:rPr>
      <w:rFonts w:ascii="Arial" w:hAnsi="Arial" w:eastAsia="Arial" w:cs="Arial"/>
      <w:sz w:val="30"/>
      <w:szCs w:val="30"/>
    </w:rPr>
  </w:style>
  <w:style w:type="paragraph" w:styleId="800" w:customStyle="1">
    <w:name w:val="标题 31"/>
    <w:basedOn w:val="671"/>
    <w:next w:val="671"/>
    <w:link w:val="799"/>
    <w:uiPriority w:val="9"/>
    <w:unhideWhenUsed/>
    <w:qFormat/>
    <w:pPr>
      <w:keepLines/>
      <w:keepNext/>
      <w:spacing w:before="320" w:after="200"/>
      <w:outlineLvl w:val="2"/>
    </w:pPr>
    <w:rPr>
      <w:rFonts w:ascii="Arial" w:hAnsi="Arial" w:eastAsia="Arial" w:cs="Arial"/>
      <w:sz w:val="30"/>
      <w:szCs w:val="30"/>
    </w:rPr>
  </w:style>
  <w:style w:type="character" w:styleId="801" w:customStyle="1">
    <w:name w:val="标题 2 字符"/>
    <w:link w:val="802"/>
    <w:uiPriority w:val="9"/>
    <w:qFormat/>
    <w:rPr>
      <w:rFonts w:ascii="宋体" w:hAnsi="宋体" w:cs="宋体"/>
      <w:b/>
      <w:sz w:val="21"/>
      <w:szCs w:val="21"/>
    </w:rPr>
  </w:style>
  <w:style w:type="paragraph" w:styleId="802" w:customStyle="1">
    <w:name w:val="标题 21"/>
    <w:basedOn w:val="671"/>
    <w:next w:val="671"/>
    <w:link w:val="801"/>
    <w:uiPriority w:val="9"/>
    <w:unhideWhenUsed/>
    <w:qFormat/>
    <w:pPr>
      <w:ind w:firstLine="422"/>
      <w:keepLines/>
      <w:keepNext/>
      <w:spacing w:line="360" w:lineRule="auto"/>
      <w:outlineLvl w:val="1"/>
    </w:pPr>
    <w:rPr>
      <w:rFonts w:ascii="宋体" w:hAnsi="宋体" w:cs="宋体"/>
      <w:b/>
      <w:szCs w:val="21"/>
    </w:rPr>
  </w:style>
  <w:style w:type="character" w:styleId="803" w:customStyle="1">
    <w:name w:val="已访问的超链接1"/>
    <w:uiPriority w:val="99"/>
    <w:unhideWhenUsed/>
    <w:qFormat/>
    <w:rPr>
      <w:color w:val="333333"/>
      <w:u w:val="none"/>
    </w:rPr>
  </w:style>
  <w:style w:type="character" w:styleId="804" w:customStyle="1">
    <w:name w:val="标题 1 字符"/>
    <w:link w:val="805"/>
    <w:uiPriority w:val="9"/>
    <w:qFormat/>
    <w:rPr>
      <w:rFonts w:ascii="Arial" w:hAnsi="Arial" w:eastAsia="Arial" w:cs="Arial"/>
      <w:sz w:val="40"/>
      <w:szCs w:val="40"/>
    </w:rPr>
  </w:style>
  <w:style w:type="paragraph" w:styleId="805" w:customStyle="1">
    <w:name w:val="标题 11"/>
    <w:basedOn w:val="671"/>
    <w:next w:val="671"/>
    <w:link w:val="804"/>
    <w:uiPriority w:val="9"/>
    <w:qFormat/>
    <w:pPr>
      <w:keepLines/>
      <w:keepNext/>
      <w:spacing w:before="480" w:after="200"/>
      <w:outlineLvl w:val="0"/>
    </w:pPr>
    <w:rPr>
      <w:rFonts w:ascii="Arial" w:hAnsi="Arial" w:eastAsia="Arial" w:cs="Arial"/>
      <w:sz w:val="40"/>
      <w:szCs w:val="40"/>
    </w:rPr>
  </w:style>
  <w:style w:type="character" w:styleId="806" w:customStyle="1">
    <w:name w:val="Endnote Text Char"/>
    <w:uiPriority w:val="99"/>
    <w:qFormat/>
    <w:rPr>
      <w:sz w:val="20"/>
    </w:rPr>
  </w:style>
  <w:style w:type="character" w:styleId="807" w:customStyle="1">
    <w:name w:val="Heading 2 Char"/>
    <w:uiPriority w:val="9"/>
    <w:qFormat/>
    <w:rPr>
      <w:rFonts w:ascii="Arial" w:hAnsi="Arial" w:eastAsia="Arial" w:cs="Arial"/>
      <w:sz w:val="34"/>
    </w:rPr>
  </w:style>
  <w:style w:type="character" w:styleId="808" w:customStyle="1">
    <w:name w:val="标题 7 字符"/>
    <w:link w:val="809"/>
    <w:uiPriority w:val="9"/>
    <w:qFormat/>
    <w:rPr>
      <w:rFonts w:ascii="Arial" w:hAnsi="Arial" w:eastAsia="Arial" w:cs="Arial"/>
      <w:b/>
      <w:bCs/>
      <w:i/>
      <w:iCs/>
      <w:sz w:val="22"/>
      <w:szCs w:val="22"/>
    </w:rPr>
  </w:style>
  <w:style w:type="paragraph" w:styleId="809" w:customStyle="1">
    <w:name w:val="标题 71"/>
    <w:basedOn w:val="671"/>
    <w:next w:val="671"/>
    <w:link w:val="808"/>
    <w:uiPriority w:val="9"/>
    <w:unhideWhenUsed/>
    <w:qFormat/>
    <w:pPr>
      <w:keepLines/>
      <w:keepNext/>
      <w:spacing w:before="320" w:after="200"/>
      <w:outlineLvl w:val="6"/>
    </w:pPr>
    <w:rPr>
      <w:rFonts w:ascii="Arial" w:hAnsi="Arial" w:eastAsia="Arial" w:cs="Arial"/>
      <w:b/>
      <w:bCs/>
      <w:i/>
      <w:iCs/>
      <w:sz w:val="22"/>
    </w:rPr>
  </w:style>
  <w:style w:type="character" w:styleId="810" w:customStyle="1">
    <w:name w:val="要点1"/>
    <w:uiPriority w:val="0"/>
    <w:qFormat/>
    <w:rPr>
      <w:rFonts w:hint="default"/>
      <w:sz w:val="21"/>
      <w:szCs w:val="22"/>
      <w:lang w:eastAsia="zh-CN"/>
    </w:rPr>
  </w:style>
  <w:style w:type="character" w:styleId="811" w:customStyle="1">
    <w:name w:val="正文文本缩进 3 字符"/>
    <w:link w:val="812"/>
    <w:uiPriority w:val="0"/>
    <w:qFormat/>
    <w:rPr>
      <w:rFonts w:ascii="Times New Roman" w:hAnsi="Times New Roman" w:eastAsia="宋体" w:cs="Times New Roman"/>
      <w:sz w:val="24"/>
    </w:rPr>
  </w:style>
  <w:style w:type="paragraph" w:styleId="812" w:customStyle="1">
    <w:name w:val="正文文本缩进 31"/>
    <w:basedOn w:val="671"/>
    <w:link w:val="811"/>
    <w:uiPriority w:val="99"/>
    <w:unhideWhenUsed/>
    <w:qFormat/>
    <w:pPr>
      <w:ind w:firstLine="480"/>
      <w:jc w:val="left"/>
      <w:spacing w:line="440" w:lineRule="atLeast"/>
    </w:pPr>
    <w:rPr>
      <w:sz w:val="24"/>
      <w:szCs w:val="24"/>
    </w:rPr>
  </w:style>
  <w:style w:type="character" w:styleId="813" w:customStyle="1">
    <w:name w:val="引用 字符"/>
    <w:link w:val="814"/>
    <w:uiPriority w:val="29"/>
    <w:qFormat/>
    <w:rPr>
      <w:i/>
    </w:rPr>
  </w:style>
  <w:style w:type="paragraph" w:styleId="814">
    <w:name w:val="Quote"/>
    <w:basedOn w:val="671"/>
    <w:next w:val="671"/>
    <w:link w:val="813"/>
    <w:uiPriority w:val="29"/>
    <w:qFormat/>
    <w:pPr>
      <w:ind w:left="720" w:right="720"/>
    </w:pPr>
    <w:rPr>
      <w:i/>
    </w:rPr>
  </w:style>
  <w:style w:type="character" w:styleId="815" w:customStyle="1">
    <w:name w:val="font21"/>
    <w:uiPriority w:val="0"/>
    <w:qFormat/>
    <w:rPr>
      <w:rFonts w:hint="eastAsia" w:ascii="宋体" w:hAnsi="宋体" w:eastAsia="宋体" w:cs="宋体"/>
      <w:color w:val="000000"/>
      <w:sz w:val="21"/>
      <w:szCs w:val="21"/>
      <w:u w:val="none"/>
    </w:rPr>
  </w:style>
  <w:style w:type="character" w:styleId="816" w:customStyle="1">
    <w:name w:val="Subtitle Char"/>
    <w:uiPriority w:val="11"/>
    <w:qFormat/>
    <w:rPr>
      <w:sz w:val="24"/>
      <w:szCs w:val="24"/>
    </w:rPr>
  </w:style>
  <w:style w:type="character" w:styleId="817" w:customStyle="1">
    <w:name w:val="Heading 7 Char"/>
    <w:uiPriority w:val="9"/>
    <w:qFormat/>
    <w:rPr>
      <w:rFonts w:ascii="Arial" w:hAnsi="Arial" w:eastAsia="Arial" w:cs="Arial"/>
      <w:b/>
      <w:bCs/>
      <w:i/>
      <w:iCs/>
      <w:sz w:val="22"/>
      <w:szCs w:val="22"/>
    </w:rPr>
  </w:style>
  <w:style w:type="character" w:styleId="818" w:customStyle="1">
    <w:name w:val="Intense Quote Char"/>
    <w:uiPriority w:val="30"/>
    <w:qFormat/>
    <w:rPr>
      <w:i/>
    </w:rPr>
  </w:style>
  <w:style w:type="character" w:styleId="819" w:customStyle="1">
    <w:name w:val="标题 6 字符"/>
    <w:link w:val="820"/>
    <w:uiPriority w:val="9"/>
    <w:qFormat/>
    <w:rPr>
      <w:rFonts w:ascii="Arial" w:hAnsi="Arial" w:eastAsia="Arial" w:cs="Arial"/>
      <w:b/>
      <w:bCs/>
      <w:sz w:val="22"/>
      <w:szCs w:val="22"/>
    </w:rPr>
  </w:style>
  <w:style w:type="paragraph" w:styleId="820" w:customStyle="1">
    <w:name w:val="标题 61"/>
    <w:basedOn w:val="671"/>
    <w:next w:val="671"/>
    <w:link w:val="819"/>
    <w:uiPriority w:val="9"/>
    <w:unhideWhenUsed/>
    <w:qFormat/>
    <w:pPr>
      <w:keepLines/>
      <w:keepNext/>
      <w:spacing w:before="320" w:after="200"/>
      <w:outlineLvl w:val="5"/>
    </w:pPr>
    <w:rPr>
      <w:rFonts w:ascii="Arial" w:hAnsi="Arial" w:eastAsia="Arial" w:cs="Arial"/>
      <w:b/>
      <w:bCs/>
      <w:sz w:val="22"/>
    </w:rPr>
  </w:style>
  <w:style w:type="character" w:styleId="821" w:customStyle="1">
    <w:name w:val="l-btn-text"/>
    <w:uiPriority w:val="0"/>
    <w:qFormat/>
    <w:rPr>
      <w:rFonts w:ascii="Times New Roman" w:hAnsi="Times New Roman" w:eastAsia="宋体" w:cs="Times New Roman"/>
    </w:rPr>
  </w:style>
  <w:style w:type="character" w:styleId="822" w:customStyle="1">
    <w:name w:val="Heading 4 Char"/>
    <w:uiPriority w:val="9"/>
    <w:qFormat/>
    <w:rPr>
      <w:rFonts w:ascii="Arial" w:hAnsi="Arial" w:eastAsia="Arial" w:cs="Arial"/>
      <w:b/>
      <w:bCs/>
      <w:sz w:val="26"/>
      <w:szCs w:val="26"/>
    </w:rPr>
  </w:style>
  <w:style w:type="paragraph" w:styleId="823" w:customStyle="1">
    <w:name w:val="Heading 1"/>
    <w:basedOn w:val="671"/>
    <w:next w:val="671"/>
    <w:uiPriority w:val="0"/>
    <w:qFormat/>
    <w:pPr>
      <w:keepLines/>
      <w:keepNext/>
      <w:spacing w:before="340" w:after="330" w:line="578" w:lineRule="auto"/>
    </w:pPr>
    <w:rPr>
      <w:b/>
      <w:sz w:val="44"/>
    </w:rPr>
  </w:style>
  <w:style w:type="paragraph" w:styleId="824" w:customStyle="1">
    <w:name w:val="纯文本1"/>
    <w:basedOn w:val="671"/>
    <w:uiPriority w:val="0"/>
    <w:qFormat/>
    <w:rPr>
      <w:rFonts w:ascii="宋体" w:hAnsi="Courier New" w:eastAsia="楷体_GB2312"/>
      <w:sz w:val="28"/>
      <w:szCs w:val="20"/>
    </w:rPr>
  </w:style>
  <w:style w:type="paragraph" w:styleId="825" w:customStyle="1">
    <w:name w:val="Plain Text1"/>
    <w:basedOn w:val="671"/>
    <w:uiPriority w:val="0"/>
    <w:qFormat/>
    <w:rPr>
      <w:rFonts w:ascii="宋体" w:hAnsi="Courier New"/>
    </w:rPr>
  </w:style>
  <w:style w:type="paragraph" w:styleId="826" w:customStyle="1">
    <w:name w:val="修订1"/>
    <w:uiPriority w:val="99"/>
    <w:unhideWhenUsed/>
    <w:qFormat/>
    <w:rPr>
      <w:rFonts w:hint="default" w:ascii="Times New Roman" w:hAnsi="Times New Roman" w:eastAsia="宋体" w:cs="Times New Roman"/>
      <w:sz w:val="21"/>
      <w:szCs w:val="22"/>
      <w:lang w:val="en-US" w:eastAsia="zh-CN" w:bidi="ar-SA"/>
    </w:rPr>
  </w:style>
  <w:style w:type="paragraph" w:styleId="827" w:customStyle="1">
    <w:name w:val="Table Text"/>
    <w:basedOn w:val="671"/>
    <w:uiPriority w:val="0"/>
    <w:semiHidden/>
    <w:qFormat/>
    <w:rPr>
      <w:rFonts w:ascii="宋体" w:hAnsi="宋体" w:cs="宋体"/>
      <w:sz w:val="20"/>
      <w:szCs w:val="20"/>
      <w:lang w:eastAsia="en-US"/>
    </w:rPr>
  </w:style>
  <w:style w:type="paragraph" w:styleId="828" w:customStyle="1">
    <w:name w:val="修订5"/>
    <w:uiPriority w:val="99"/>
    <w:unhideWhenUsed/>
    <w:qFormat/>
    <w:rPr>
      <w:rFonts w:hint="default" w:ascii="Times New Roman" w:hAnsi="Times New Roman" w:eastAsia="宋体" w:cs="Times New Roman"/>
      <w:sz w:val="21"/>
      <w:szCs w:val="22"/>
      <w:lang w:val="en-US" w:eastAsia="zh-CN" w:bidi="ar-SA"/>
    </w:rPr>
  </w:style>
  <w:style w:type="paragraph" w:styleId="829" w:customStyle="1">
    <w:name w:val="Table Paragraph"/>
    <w:basedOn w:val="671"/>
    <w:uiPriority w:val="1"/>
    <w:qFormat/>
  </w:style>
  <w:style w:type="paragraph" w:styleId="830" w:customStyle="1">
    <w:name w:val="WPSOffice手动目录 1"/>
    <w:uiPriority w:val="0"/>
    <w:qFormat/>
    <w:rPr>
      <w:rFonts w:hint="default" w:ascii="Times New Roman" w:hAnsi="Times New Roman" w:eastAsia="宋体" w:cs="Times New Roman"/>
      <w:lang w:val="en-US" w:eastAsia="zh-CN" w:bidi="ar-SA"/>
    </w:rPr>
  </w:style>
  <w:style w:type="paragraph" w:styleId="831" w:customStyle="1">
    <w:name w:val="UserStyle_62"/>
    <w:basedOn w:val="671"/>
    <w:uiPriority w:val="0"/>
    <w:qFormat/>
    <w:rPr>
      <w:rFonts w:ascii="宋体" w:hAnsi="Courier New"/>
    </w:rPr>
  </w:style>
  <w:style w:type="paragraph" w:styleId="832" w:customStyle="1">
    <w:name w:val="[正文行首缩进]"/>
    <w:uiPriority w:val="0"/>
    <w:qFormat/>
    <w:pPr>
      <w:ind w:firstLine="480"/>
      <w:jc w:val="both"/>
      <w:spacing w:line="360" w:lineRule="auto"/>
      <w:widowControl w:val="off"/>
    </w:pPr>
    <w:rPr>
      <w:rFonts w:hint="default" w:ascii="Times New Roman" w:hAnsi="Times New Roman" w:eastAsia="宋体" w:cs="Times New Roman"/>
      <w:bCs/>
      <w:color w:val="000000"/>
      <w:sz w:val="24"/>
      <w:szCs w:val="24"/>
      <w:lang w:val="en-US" w:eastAsia="zh-CN" w:bidi="ar-SA"/>
    </w:rPr>
  </w:style>
  <w:style w:type="paragraph" w:styleId="833" w:customStyle="1">
    <w:name w:val="修订2"/>
    <w:uiPriority w:val="99"/>
    <w:unhideWhenUsed/>
    <w:qFormat/>
    <w:rPr>
      <w:rFonts w:hint="default" w:ascii="Times New Roman" w:hAnsi="Times New Roman" w:eastAsia="宋体" w:cs="Times New Roman"/>
      <w:sz w:val="21"/>
      <w:szCs w:val="22"/>
      <w:lang w:val="en-US" w:eastAsia="zh-CN" w:bidi="ar-SA"/>
    </w:rPr>
  </w:style>
  <w:style w:type="paragraph" w:styleId="834" w:customStyle="1">
    <w:name w:val="正文_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35"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36" w:customStyle="1">
    <w:name w:val="纯文本4"/>
    <w:basedOn w:val="671"/>
    <w:uiPriority w:val="0"/>
    <w:qFormat/>
    <w:rPr>
      <w:rFonts w:ascii="宋体" w:hAnsi="Courier New" w:eastAsia="楷体_GB2312"/>
      <w:sz w:val="26"/>
      <w:szCs w:val="20"/>
    </w:rPr>
  </w:style>
  <w:style w:type="paragraph" w:styleId="837" w:customStyle="1">
    <w:name w:val="纯文本2"/>
    <w:basedOn w:val="671"/>
    <w:uiPriority w:val="0"/>
    <w:qFormat/>
    <w:rPr>
      <w:rFonts w:ascii="宋体" w:hAnsi="Courier New"/>
      <w:szCs w:val="24"/>
    </w:rPr>
  </w:style>
  <w:style w:type="paragraph" w:styleId="838" w:customStyle="1">
    <w:name w:val="正文首行缩进 21"/>
    <w:basedOn w:val="839"/>
    <w:uiPriority w:val="99"/>
    <w:unhideWhenUsed/>
    <w:qFormat/>
    <w:pPr>
      <w:ind w:firstLine="420"/>
    </w:pPr>
    <w:rPr>
      <w:rFonts w:ascii="Calibri" w:hAnsi="Calibri"/>
    </w:rPr>
  </w:style>
  <w:style w:type="paragraph" w:styleId="839" w:customStyle="1">
    <w:name w:val="正文文本缩进1"/>
    <w:next w:val="671"/>
    <w:uiPriority w:val="0"/>
    <w:qFormat/>
    <w:pPr>
      <w:ind w:left="570"/>
      <w:jc w:val="both"/>
      <w:spacing w:line="520" w:lineRule="exact"/>
      <w:widowControl w:val="off"/>
    </w:pPr>
    <w:rPr>
      <w:rFonts w:hint="default" w:ascii="方正仿宋简体" w:hAnsi="创艺简仿宋" w:eastAsia="方正仿宋简体" w:cs="Times New Roman"/>
      <w:sz w:val="24"/>
      <w:lang w:val="en-US" w:eastAsia="zh-CN" w:bidi="ar-SA"/>
    </w:rPr>
  </w:style>
  <w:style w:type="paragraph" w:styleId="840" w:customStyle="1">
    <w:name w:val="普通(网站)1"/>
    <w:basedOn w:val="671"/>
    <w:uiPriority w:val="99"/>
    <w:qFormat/>
    <w:pPr>
      <w:jc w:val="center"/>
      <w:spacing w:before="75" w:after="75"/>
    </w:pPr>
    <w:rPr>
      <w:sz w:val="24"/>
      <w:szCs w:val="24"/>
    </w:rPr>
  </w:style>
  <w:style w:type="paragraph" w:styleId="841" w:customStyle="1">
    <w:name w:val="目录 21"/>
    <w:basedOn w:val="671"/>
    <w:next w:val="671"/>
    <w:uiPriority w:val="39"/>
    <w:qFormat/>
    <w:pPr>
      <w:ind w:left="200"/>
      <w:spacing w:line="360" w:lineRule="auto"/>
    </w:pPr>
  </w:style>
  <w:style w:type="paragraph" w:styleId="842" w:customStyle="1">
    <w:name w:val="页眉11"/>
    <w:basedOn w:val="671"/>
    <w:uiPriority w:val="99"/>
    <w:unhideWhenUsed/>
    <w:qFormat/>
    <w:pPr>
      <w:tabs>
        <w:tab w:val="center" w:pos="4153" w:leader="none"/>
        <w:tab w:val="right" w:pos="8306" w:leader="none"/>
      </w:tabs>
    </w:pPr>
    <w:rPr>
      <w:sz w:val="18"/>
    </w:rPr>
  </w:style>
  <w:style w:type="paragraph" w:styleId="843" w:customStyle="1">
    <w:name w:val="首行缩进"/>
    <w:basedOn w:val="671"/>
    <w:uiPriority w:val="0"/>
    <w:qFormat/>
    <w:pPr>
      <w:ind w:firstLine="480"/>
    </w:pPr>
    <w:rPr>
      <w:szCs w:val="20"/>
      <w:lang w:val="zh-CN"/>
    </w:rPr>
  </w:style>
  <w:style w:type="paragraph" w:styleId="844" w:customStyle="1">
    <w:name w:val="页脚11"/>
    <w:basedOn w:val="671"/>
    <w:uiPriority w:val="99"/>
    <w:unhideWhenUsed/>
    <w:qFormat/>
    <w:pPr>
      <w:jc w:val="left"/>
      <w:tabs>
        <w:tab w:val="center" w:pos="4153" w:leader="none"/>
        <w:tab w:val="right" w:pos="8306" w:leader="none"/>
      </w:tabs>
    </w:pPr>
    <w:rPr>
      <w:sz w:val="18"/>
      <w:szCs w:val="18"/>
    </w:rPr>
  </w:style>
  <w:style w:type="paragraph" w:styleId="845" w:customStyle="1">
    <w:name w:val="日期1"/>
    <w:basedOn w:val="671"/>
    <w:next w:val="671"/>
    <w:uiPriority w:val="0"/>
    <w:qFormat/>
    <w:pPr>
      <w:ind w:left="100"/>
    </w:pPr>
  </w:style>
  <w:style w:type="paragraph" w:styleId="846" w:customStyle="1">
    <w:name w:val="寄信人地址11"/>
    <w:basedOn w:val="671"/>
    <w:uiPriority w:val="0"/>
    <w:qFormat/>
    <w:rPr>
      <w:sz w:val="26"/>
      <w:szCs w:val="24"/>
    </w:rPr>
  </w:style>
  <w:style w:type="paragraph" w:styleId="847" w:customStyle="1">
    <w:name w:val="标题 411"/>
    <w:basedOn w:val="671"/>
    <w:next w:val="671"/>
    <w:uiPriority w:val="9"/>
    <w:qFormat/>
    <w:pPr>
      <w:keepLines/>
      <w:keepNext/>
      <w:spacing w:before="280" w:after="290" w:line="376" w:lineRule="auto"/>
      <w:outlineLvl w:val="3"/>
    </w:pPr>
    <w:rPr>
      <w:rFonts w:ascii="Cambria" w:hAnsi="Cambria"/>
      <w:b/>
      <w:bCs/>
      <w:sz w:val="28"/>
      <w:szCs w:val="28"/>
    </w:rPr>
  </w:style>
  <w:style w:type="paragraph" w:styleId="848" w:customStyle="1">
    <w:name w:val="标题 311"/>
    <w:basedOn w:val="671"/>
    <w:next w:val="671"/>
    <w:uiPriority w:val="0"/>
    <w:qFormat/>
    <w:pPr>
      <w:keepLines/>
      <w:keepNext/>
      <w:spacing w:line="360" w:lineRule="auto"/>
      <w:outlineLvl w:val="2"/>
    </w:pPr>
    <w:rPr>
      <w:b/>
      <w:bCs/>
      <w:szCs w:val="32"/>
    </w:rPr>
  </w:style>
  <w:style w:type="paragraph" w:styleId="849" w:customStyle="1">
    <w:name w:val="标题 211"/>
    <w:basedOn w:val="671"/>
    <w:next w:val="671"/>
    <w:uiPriority w:val="9"/>
    <w:qFormat/>
    <w:pPr>
      <w:keepLines/>
      <w:keepNext/>
      <w:spacing w:line="360" w:lineRule="auto"/>
      <w:outlineLvl w:val="1"/>
    </w:pPr>
    <w:rPr>
      <w:rFonts w:ascii="Arial" w:hAnsi="Arial"/>
      <w:b/>
      <w:bCs/>
      <w:sz w:val="24"/>
      <w:szCs w:val="32"/>
    </w:rPr>
  </w:style>
  <w:style w:type="paragraph" w:styleId="850" w:customStyle="1">
    <w:name w:val="标题 111"/>
    <w:basedOn w:val="671"/>
    <w:next w:val="671"/>
    <w:uiPriority w:val="0"/>
    <w:qFormat/>
    <w:pPr>
      <w:jc w:val="center"/>
      <w:keepLines/>
      <w:keepNext/>
      <w:spacing w:line="360" w:lineRule="auto"/>
      <w:outlineLvl w:val="0"/>
    </w:pPr>
    <w:rPr>
      <w:rFonts w:eastAsia="黑体"/>
      <w:b/>
      <w:bCs/>
      <w:sz w:val="32"/>
      <w:szCs w:val="44"/>
    </w:rPr>
  </w:style>
  <w:style w:type="paragraph" w:styleId="851" w:customStyle="1">
    <w:name w:val="TOC 标题11"/>
    <w:uiPriority w:val="39"/>
    <w:unhideWhenUsed/>
    <w:qFormat/>
    <w:rPr>
      <w:rFonts w:hint="default" w:ascii="Times New Roman" w:hAnsi="Times New Roman" w:eastAsia="宋体" w:cs="Times New Roman"/>
      <w:lang w:val="en-US" w:eastAsia="zh-CN" w:bidi="ar-SA"/>
    </w:rPr>
  </w:style>
  <w:style w:type="paragraph" w:styleId="852">
    <w:name w:val="No Spacing"/>
    <w:uiPriority w:val="1"/>
    <w:qFormat/>
    <w:rPr>
      <w:rFonts w:hint="default" w:ascii="Times New Roman" w:hAnsi="Times New Roman" w:eastAsia="宋体" w:cs="Times New Roman"/>
      <w:lang w:val="en-US" w:eastAsia="zh-CN" w:bidi="ar-SA"/>
    </w:rPr>
  </w:style>
  <w:style w:type="paragraph" w:styleId="853">
    <w:name w:val="List Paragraph"/>
    <w:basedOn w:val="671"/>
    <w:uiPriority w:val="34"/>
    <w:qFormat/>
    <w:pPr>
      <w:contextualSpacing/>
      <w:ind w:left="720"/>
    </w:pPr>
  </w:style>
  <w:style w:type="paragraph" w:styleId="854" w:customStyle="1">
    <w:name w:val="TOC 标题111"/>
    <w:uiPriority w:val="39"/>
    <w:unhideWhenUsed/>
    <w:qFormat/>
    <w:rPr>
      <w:rFonts w:hint="default" w:ascii="Times New Roman" w:hAnsi="Times New Roman" w:eastAsia="宋体" w:cs="Times New Roman"/>
      <w:lang w:val="en-US" w:eastAsia="zh-CN" w:bidi="ar-SA"/>
    </w:rPr>
  </w:style>
  <w:style w:type="paragraph" w:styleId="855" w:customStyle="1">
    <w:name w:val="TOC 标题1"/>
    <w:uiPriority w:val="39"/>
    <w:unhideWhenUsed/>
    <w:qFormat/>
    <w:rPr>
      <w:rFonts w:hint="default" w:ascii="Times New Roman" w:hAnsi="Times New Roman" w:eastAsia="宋体" w:cs="Times New Roman"/>
      <w:lang w:val="en-US" w:eastAsia="zh-CN" w:bidi="ar-SA"/>
    </w:rPr>
  </w:style>
  <w:style w:type="paragraph" w:styleId="856" w:customStyle="1">
    <w:name w:val="修订4"/>
    <w:uiPriority w:val="99"/>
    <w:unhideWhenUsed/>
    <w:qFormat/>
    <w:rPr>
      <w:rFonts w:hint="default" w:ascii="Times New Roman" w:hAnsi="Times New Roman" w:eastAsia="宋体" w:cs="Times New Roman"/>
      <w:sz w:val="21"/>
      <w:szCs w:val="22"/>
      <w:lang w:val="en-US" w:eastAsia="zh-CN" w:bidi="ar-SA"/>
    </w:rPr>
  </w:style>
  <w:style w:type="paragraph" w:styleId="857" w:customStyle="1">
    <w:name w:val="_Style 156"/>
    <w:uiPriority w:val="39"/>
    <w:qFormat/>
    <w:rPr>
      <w:rFonts w:hint="default" w:ascii="Times New Roman" w:hAnsi="Times New Roman" w:eastAsia="宋体" w:cs="Times New Roman"/>
      <w:lang w:val="en-US" w:eastAsia="zh-CN" w:bidi="ar-SA"/>
    </w:rPr>
  </w:style>
  <w:style w:type="paragraph" w:styleId="858" w:customStyle="1">
    <w:name w:val="TOC 标题112"/>
    <w:uiPriority w:val="39"/>
    <w:unhideWhenUsed/>
    <w:qFormat/>
    <w:rPr>
      <w:rFonts w:hint="default" w:ascii="Times New Roman" w:hAnsi="Times New Roman" w:eastAsia="宋体" w:cs="Times New Roman"/>
      <w:lang w:val="en-US" w:eastAsia="zh-CN" w:bidi="ar-SA"/>
    </w:rPr>
  </w:style>
  <w:style w:type="paragraph" w:styleId="859" w:customStyle="1">
    <w:name w:val="文本块1"/>
    <w:basedOn w:val="671"/>
    <w:uiPriority w:val="99"/>
    <w:unhideWhenUsed/>
    <w:qFormat/>
    <w:pPr>
      <w:ind w:left="630" w:right="-609" w:firstLine="420"/>
      <w:spacing w:line="360" w:lineRule="auto"/>
    </w:pPr>
    <w:rPr>
      <w:rFonts w:hint="eastAsia" w:ascii="仿宋_GB2312" w:eastAsia="仿宋_GB2312"/>
      <w:szCs w:val="20"/>
    </w:rPr>
  </w:style>
  <w:style w:type="paragraph" w:styleId="860" w:customStyle="1">
    <w:name w:val="题注1"/>
    <w:basedOn w:val="671"/>
    <w:next w:val="671"/>
    <w:uiPriority w:val="35"/>
    <w:unhideWhenUsed/>
    <w:qFormat/>
    <w:pPr>
      <w:spacing w:line="276" w:lineRule="auto"/>
    </w:pPr>
    <w:rPr>
      <w:b/>
      <w:bCs/>
      <w:color w:val="4f81bd"/>
      <w:sz w:val="18"/>
      <w:szCs w:val="18"/>
    </w:rPr>
  </w:style>
  <w:style w:type="paragraph" w:styleId="861" w:customStyle="1">
    <w:name w:val="修订11"/>
    <w:uiPriority w:val="99"/>
    <w:unhideWhenUsed/>
    <w:qFormat/>
    <w:rPr>
      <w:rFonts w:hint="default" w:ascii="Times New Roman" w:hAnsi="Times New Roman" w:eastAsia="宋体" w:cs="Times New Roman"/>
      <w:sz w:val="21"/>
      <w:szCs w:val="22"/>
      <w:lang w:val="en-US" w:eastAsia="zh-CN" w:bidi="ar-SA"/>
    </w:rPr>
  </w:style>
  <w:style w:type="paragraph" w:styleId="862" w:customStyle="1">
    <w:name w:val="修订3"/>
    <w:uiPriority w:val="99"/>
    <w:unhideWhenUsed/>
    <w:qFormat/>
    <w:rPr>
      <w:rFonts w:hint="default" w:ascii="Times New Roman" w:hAnsi="Times New Roman" w:eastAsia="宋体" w:cs="Times New Roman"/>
      <w:sz w:val="21"/>
      <w:szCs w:val="22"/>
      <w:lang w:val="en-US" w:eastAsia="zh-CN" w:bidi="ar-SA"/>
    </w:rPr>
  </w:style>
  <w:style w:type="paragraph" w:styleId="863" w:customStyle="1">
    <w:name w:val="正文首行缩进11"/>
    <w:basedOn w:val="767"/>
    <w:uiPriority w:val="0"/>
    <w:qFormat/>
    <w:pPr>
      <w:ind w:firstLine="420"/>
    </w:pPr>
    <w:rPr>
      <w:sz w:val="26"/>
    </w:rPr>
  </w:style>
  <w:style w:type="paragraph" w:styleId="864" w:customStyle="1">
    <w:name w:val="寄信人地址1"/>
    <w:uiPriority w:val="0"/>
    <w:qFormat/>
    <w:pPr>
      <w:jc w:val="both"/>
      <w:widowControl w:val="off"/>
    </w:pPr>
    <w:rPr>
      <w:rFonts w:hint="default" w:ascii="Arial" w:hAnsi="Arial" w:eastAsia="楷体_GB2312" w:cs="Times New Roman"/>
      <w:sz w:val="26"/>
      <w:lang w:val="en-US" w:eastAsia="zh-CN" w:bidi="ar-SA"/>
    </w:rPr>
  </w:style>
  <w:style w:type="paragraph" w:styleId="865" w:customStyle="1">
    <w:name w:val="正文文本缩进11"/>
    <w:basedOn w:val="671"/>
    <w:next w:val="864"/>
    <w:uiPriority w:val="99"/>
    <w:unhideWhenUsed/>
    <w:qFormat/>
    <w:pPr>
      <w:ind w:left="420"/>
      <w:spacing w:after="120"/>
    </w:pPr>
    <w:rPr>
      <w:szCs w:val="24"/>
    </w:rPr>
  </w:style>
  <w:style w:type="table" w:styleId="866" w:customStyle="1">
    <w:name w:val="网格型42"/>
    <w:basedOn w:val="68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67" w:customStyle="1">
    <w:name w:val="Table Normal_0"/>
    <w:uiPriority w:val="0"/>
    <w:unhideWhenUsed/>
    <w:qFormat/>
    <w:tblPr>
      <w:tblCellMar>
        <w:left w:w="0" w:type="dxa"/>
        <w:top w:w="0" w:type="dxa"/>
        <w:right w:w="0" w:type="dxa"/>
        <w:bottom w:w="0" w:type="dxa"/>
      </w:tblCellMar>
    </w:tblPr>
  </w:style>
  <w:style w:type="table" w:styleId="868"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style>
  <w:style w:type="table" w:styleId="86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7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71"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style>
  <w:style w:type="table" w:styleId="872"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style>
  <w:style w:type="table" w:styleId="873" w:customStyle="1">
    <w:name w:val="Lined - Accent 6"/>
    <w:uiPriority w:val="99"/>
    <w:qFormat/>
    <w:rPr>
      <w:color w:val="404040"/>
    </w:rPr>
    <w:tblPr>
      <w:tblCellMar>
        <w:left w:w="0" w:type="dxa"/>
        <w:top w:w="0" w:type="dxa"/>
        <w:right w:w="0" w:type="dxa"/>
        <w:bottom w:w="0" w:type="dxa"/>
      </w:tblCellMar>
    </w:tblPr>
  </w:style>
  <w:style w:type="table" w:styleId="874" w:customStyle="1">
    <w:name w:val="Lined - Accent 5"/>
    <w:uiPriority w:val="99"/>
    <w:qFormat/>
    <w:rPr>
      <w:color w:val="404040"/>
    </w:rPr>
    <w:tblPr>
      <w:tblCellMar>
        <w:left w:w="0" w:type="dxa"/>
        <w:top w:w="0" w:type="dxa"/>
        <w:right w:w="0" w:type="dxa"/>
        <w:bottom w:w="0" w:type="dxa"/>
      </w:tblCellMar>
    </w:tblPr>
  </w:style>
  <w:style w:type="table" w:styleId="875" w:customStyle="1">
    <w:name w:val="Lined - Accent 2"/>
    <w:uiPriority w:val="99"/>
    <w:qFormat/>
    <w:rPr>
      <w:color w:val="404040"/>
    </w:rPr>
    <w:tblPr>
      <w:tblCellMar>
        <w:left w:w="0" w:type="dxa"/>
        <w:top w:w="0" w:type="dxa"/>
        <w:right w:w="0" w:type="dxa"/>
        <w:bottom w:w="0" w:type="dxa"/>
      </w:tblCellMar>
    </w:tblPr>
  </w:style>
  <w:style w:type="table" w:styleId="876" w:customStyle="1">
    <w:name w:val="Lined - Accent 1"/>
    <w:uiPriority w:val="99"/>
    <w:qFormat/>
    <w:rPr>
      <w:color w:val="404040"/>
    </w:rPr>
    <w:tblPr>
      <w:tblCellMar>
        <w:left w:w="0" w:type="dxa"/>
        <w:top w:w="0" w:type="dxa"/>
        <w:right w:w="0" w:type="dxa"/>
        <w:bottom w:w="0" w:type="dxa"/>
      </w:tblCellMar>
    </w:tblPr>
  </w:style>
  <w:style w:type="table" w:styleId="877" w:customStyle="1">
    <w:name w:val="Lined - Accent"/>
    <w:uiPriority w:val="99"/>
    <w:qFormat/>
    <w:rPr>
      <w:color w:val="404040"/>
    </w:rPr>
    <w:tblPr>
      <w:tblCellMar>
        <w:left w:w="0" w:type="dxa"/>
        <w:top w:w="0" w:type="dxa"/>
        <w:right w:w="0" w:type="dxa"/>
        <w:bottom w:w="0" w:type="dxa"/>
      </w:tblCellMar>
    </w:tblPr>
  </w:style>
  <w:style w:type="table" w:styleId="87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79"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80" w:customStyle="1">
    <w:name w:val="List Table 7 Colorful - Accent 2"/>
    <w:uiPriority w:val="99"/>
    <w:qFormat/>
    <w:tblPr>
      <w:tblBorders>
        <w:right w:val="single" w:color="D99795" w:sz="4" w:space="0"/>
      </w:tblBorders>
      <w:tblCellMar>
        <w:left w:w="0" w:type="dxa"/>
        <w:top w:w="0" w:type="dxa"/>
        <w:right w:w="0" w:type="dxa"/>
        <w:bottom w:w="0" w:type="dxa"/>
      </w:tblCellMar>
    </w:tblPr>
  </w:style>
  <w:style w:type="table" w:styleId="88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82"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style>
  <w:style w:type="table" w:styleId="88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8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5" w:customStyle="1">
    <w:name w:val="List Table 7 Colorful - Accent 3"/>
    <w:uiPriority w:val="99"/>
    <w:qFormat/>
    <w:tblPr>
      <w:tblBorders>
        <w:right w:val="single" w:color="C3D69C" w:sz="4" w:space="0"/>
      </w:tblBorders>
      <w:tblCellMar>
        <w:left w:w="0" w:type="dxa"/>
        <w:top w:w="0" w:type="dxa"/>
        <w:right w:w="0" w:type="dxa"/>
        <w:bottom w:w="0" w:type="dxa"/>
      </w:tblCellMar>
    </w:tblPr>
  </w:style>
  <w:style w:type="table" w:styleId="88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8"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style>
  <w:style w:type="table" w:styleId="88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9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92"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style>
  <w:style w:type="table" w:styleId="89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94"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style>
  <w:style w:type="table" w:styleId="89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96" w:customStyle="1">
    <w:name w:val="普通表格1"/>
    <w:uiPriority w:val="99"/>
    <w:unhideWhenUsed/>
    <w:qFormat/>
    <w:tblPr>
      <w:tblCellMar>
        <w:left w:w="0" w:type="dxa"/>
        <w:top w:w="0" w:type="dxa"/>
        <w:right w:w="0" w:type="dxa"/>
        <w:bottom w:w="0" w:type="dxa"/>
      </w:tblCellMar>
    </w:tblPr>
  </w:style>
  <w:style w:type="table" w:styleId="89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9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9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01"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style>
  <w:style w:type="table" w:styleId="90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03" w:customStyle="1">
    <w:name w:val="List Table 1 Light - Accent 5"/>
    <w:uiPriority w:val="99"/>
    <w:qFormat/>
    <w:tblPr>
      <w:tblCellMar>
        <w:left w:w="0" w:type="dxa"/>
        <w:top w:w="0" w:type="dxa"/>
        <w:right w:w="0" w:type="dxa"/>
        <w:bottom w:w="0" w:type="dxa"/>
      </w:tblCellMar>
    </w:tblPr>
  </w:style>
  <w:style w:type="table" w:styleId="904" w:customStyle="1">
    <w:name w:val="List Table 1 Light - Accent 2"/>
    <w:uiPriority w:val="99"/>
    <w:qFormat/>
    <w:tblPr>
      <w:tblCellMar>
        <w:left w:w="0" w:type="dxa"/>
        <w:top w:w="0" w:type="dxa"/>
        <w:right w:w="0" w:type="dxa"/>
        <w:bottom w:w="0" w:type="dxa"/>
      </w:tblCellMar>
    </w:tblPr>
  </w:style>
  <w:style w:type="table" w:styleId="905" w:customStyle="1">
    <w:name w:val="List Table 1 Light - Accent 1"/>
    <w:uiPriority w:val="99"/>
    <w:qFormat/>
    <w:tblPr>
      <w:tblCellMar>
        <w:left w:w="0" w:type="dxa"/>
        <w:top w:w="0" w:type="dxa"/>
        <w:right w:w="0" w:type="dxa"/>
        <w:bottom w:w="0" w:type="dxa"/>
      </w:tblCellMar>
    </w:tblPr>
  </w:style>
  <w:style w:type="table" w:styleId="90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0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9" w:customStyle="1">
    <w:name w:val="List Table 1 Light - Accent 6"/>
    <w:uiPriority w:val="99"/>
    <w:qFormat/>
    <w:tblPr>
      <w:tblCellMar>
        <w:left w:w="0" w:type="dxa"/>
        <w:top w:w="0" w:type="dxa"/>
        <w:right w:w="0" w:type="dxa"/>
        <w:bottom w:w="0" w:type="dxa"/>
      </w:tblCellMar>
    </w:tblPr>
  </w:style>
  <w:style w:type="table" w:styleId="910"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91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3"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914"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91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1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2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2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2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26"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927"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style>
  <w:style w:type="table" w:styleId="928"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92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0"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style>
  <w:style w:type="table" w:styleId="931"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style>
  <w:style w:type="table" w:styleId="932" w:customStyle="1">
    <w:name w:val="List Table 1 Light - Accent 3"/>
    <w:uiPriority w:val="99"/>
    <w:qFormat/>
    <w:tblPr>
      <w:tblCellMar>
        <w:left w:w="0" w:type="dxa"/>
        <w:top w:w="0" w:type="dxa"/>
        <w:right w:w="0" w:type="dxa"/>
        <w:bottom w:w="0" w:type="dxa"/>
      </w:tblCellMar>
    </w:tblPr>
  </w:style>
  <w:style w:type="table" w:styleId="93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6"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style>
  <w:style w:type="table" w:styleId="937"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93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39" w:customStyle="1">
    <w:name w:val="清单表 7 彩色1"/>
    <w:basedOn w:val="681"/>
    <w:uiPriority w:val="99"/>
    <w:qFormat/>
    <w:tblPr>
      <w:tblBorders>
        <w:right w:val="single" w:color="7E7E7E" w:sz="4" w:space="0"/>
      </w:tblBorders>
      <w:tblCellMar>
        <w:left w:w="0" w:type="dxa"/>
        <w:right w:w="0" w:type="dxa"/>
      </w:tblCellMar>
    </w:tblPr>
    <w:tblStylePr w:type="band1Horz">
      <w:rPr>
        <w:rFonts w:ascii="黑体" w:hAnsi="黑体"/>
        <w:color w:val="808080"/>
        <w:sz w:val="22"/>
      </w:rPr>
      <w:tcPr>
        <w:shd w:val="clear" w:color="bebebe" w:fill="bebebe"/>
      </w:tcPr>
    </w:tblStylePr>
    <w:tblStylePr w:type="band1Vert">
      <w:tcPr>
        <w:shd w:val="clear" w:color="bebebe" w:fill="bebebe"/>
      </w:tcPr>
    </w:tblStylePr>
    <w:tblStylePr w:type="band2Horz">
      <w:rPr>
        <w:rFonts w:ascii="黑体" w:hAnsi="黑体"/>
        <w:color w:val="808080"/>
        <w:sz w:val="22"/>
      </w:rPr>
    </w:tblStylePr>
    <w:tblStylePr w:type="firstCol">
      <w:rPr>
        <w:rFonts w:ascii="黑体" w:hAnsi="黑体"/>
        <w:i/>
        <w:color w:val="808080"/>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黑体" w:hAnsi="黑体"/>
        <w:i/>
        <w:color w:val="808080"/>
        <w:sz w:val="22"/>
      </w:rPr>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rFonts w:ascii="黑体" w:hAnsi="黑体"/>
        <w:i/>
        <w:color w:val="808080"/>
        <w:sz w:val="22"/>
      </w:rPr>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rPr>
        <w:rFonts w:ascii="黑体" w:hAnsi="黑体"/>
        <w:i/>
        <w:color w:val="808080"/>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41" w:customStyle="1">
    <w:name w:val="清单表 6 彩色1"/>
    <w:basedOn w:val="681"/>
    <w:uiPriority w:val="99"/>
    <w:qFormat/>
    <w:tblPr>
      <w:tblBorders>
        <w:top w:val="single" w:color="7E7E7E" w:sz="4" w:space="0"/>
        <w:bottom w:val="single" w:color="7E7E7E" w:sz="4" w:space="0"/>
      </w:tblBorders>
      <w:tblCellMar>
        <w:left w:w="0" w:type="dxa"/>
        <w:right w:w="0" w:type="dxa"/>
      </w:tblCellMar>
    </w:tblPr>
    <w:tblStylePr w:type="band1Horz">
      <w:rPr>
        <w:rFonts w:ascii="黑体" w:hAnsi="黑体"/>
        <w:color w:val="000000"/>
        <w:sz w:val="22"/>
      </w:rPr>
      <w:tcPr>
        <w:shd w:val="clear" w:color="bebebe" w:fill="bebebe"/>
      </w:tcPr>
    </w:tblStylePr>
    <w:tblStylePr w:type="band1Vert">
      <w:tcPr>
        <w:shd w:val="clear" w:color="bebebe" w:fill="bebebe"/>
      </w:tcPr>
    </w:tblStylePr>
    <w:tblStylePr w:type="band2Horz">
      <w:rPr>
        <w:rFonts w:ascii="黑体" w:hAnsi="黑体"/>
        <w:color w:val="000000"/>
        <w:sz w:val="22"/>
      </w:rPr>
    </w:tblStylePr>
    <w:tblStylePr w:type="firstCol">
      <w:rPr>
        <w:b/>
        <w:color w:val="000000"/>
      </w:rPr>
    </w:tblStylePr>
    <w:tblStylePr w:type="firstRow">
      <w:rPr>
        <w:b/>
        <w:color w:val="000000"/>
      </w:rPr>
      <w:tcPr>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2" w:customStyle="1">
    <w:name w:val="清单表 5 深色1"/>
    <w:basedOn w:val="681"/>
    <w:uiPriority w:val="99"/>
    <w:qFormat/>
    <w:tblPr>
      <w:tblBorders>
        <w:top w:val="single" w:color="7E7E7E" w:sz="32" w:space="0"/>
        <w:left w:val="single" w:color="7E7E7E" w:sz="32" w:space="0"/>
        <w:bottom w:val="single" w:color="7E7E7E" w:sz="32" w:space="0"/>
        <w:right w:val="single" w:color="7E7E7E" w:sz="32" w:space="0"/>
      </w:tblBorders>
      <w:tblCellMar>
        <w:left w:w="0" w:type="dxa"/>
        <w:right w:w="0" w:type="dxa"/>
      </w:tblCellMar>
    </w:tblPr>
    <w:tblStylePr w:type="band1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黑体" w:hAnsi="黑体"/>
        <w:b/>
        <w:color w:val="ffffff"/>
        <w:sz w:val="22"/>
      </w:rPr>
      <w:tcPr>
        <w:tcBorders>
          <w:top w:val="none" w:color="000000" w:sz="4" w:space="0"/>
          <w:left w:val="none" w:color="000000" w:sz="4" w:space="0"/>
          <w:bottom w:val="single" w:color="7E7E7E" w:sz="32" w:space="0"/>
          <w:right w:val="single" w:color="FFFFFF" w:sz="4" w:space="0"/>
          <w:insideH w:val="none" w:color="000000" w:sz="4" w:space="0"/>
          <w:insideV w:val="none" w:color="000000" w:sz="4" w:space="0"/>
        </w:tcBorders>
      </w:tcPr>
    </w:tblStylePr>
    <w:tblStylePr w:type="firstRow">
      <w:rPr>
        <w:rFonts w:ascii="黑体" w:hAnsi="黑体"/>
        <w:b/>
        <w:color w:val="ffffff"/>
        <w:sz w:val="22"/>
      </w:rPr>
      <w:tcPr>
        <w:shd w:val="clear" w:color="7e7e7e" w:fill="7e7e7e"/>
        <w:tcBorders>
          <w:top w:val="single" w:color="7E7E7E"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7E7E7E" w:sz="32" w:space="0"/>
          <w:insideH w:val="none" w:color="000000" w:sz="4" w:space="0"/>
          <w:insideV w:val="none" w:color="000000" w:sz="4" w:space="0"/>
        </w:tcBorders>
      </w:tcPr>
    </w:tblStylePr>
    <w:tblStylePr w:type="lastRow">
      <w:rPr>
        <w:rFonts w:ascii="黑体" w:hAnsi="黑体"/>
        <w:b/>
        <w:color w:val="ffffff"/>
        <w:sz w:val="22"/>
      </w:rPr>
    </w:tblStylePr>
  </w:style>
  <w:style w:type="table" w:styleId="943" w:customStyle="1">
    <w:name w:val="清单表 41"/>
    <w:basedOn w:val="68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黑体" w:hAnsi="黑体"/>
        <w:color w:val="404040"/>
        <w:sz w:val="22"/>
      </w:rPr>
      <w:tcPr>
        <w:shd w:val="clear" w:color="bebebe" w:fill="bebebe"/>
      </w:tcPr>
    </w:tblStylePr>
    <w:tblStylePr w:type="band1Vert">
      <w:rPr>
        <w:rFonts w:ascii="黑体" w:hAnsi="黑体"/>
        <w:color w:val="404040"/>
        <w:sz w:val="22"/>
      </w:rPr>
      <w:tcPr>
        <w:shd w:val="clear" w:color="bebebe" w:fill="bebebe"/>
      </w:tcPr>
    </w:tblStylePr>
    <w:tblStylePr w:type="firstCol">
      <w:rPr>
        <w:b/>
        <w:color w:val="404040"/>
      </w:rPr>
    </w:tblStylePr>
    <w:tblStylePr w:type="firstRow">
      <w:rPr>
        <w:rFonts w:ascii="黑体" w:hAnsi="黑体"/>
        <w:b/>
        <w:color w:val="ffffff"/>
        <w:sz w:val="22"/>
      </w:rPr>
      <w:tcPr>
        <w:shd w:val="clear" w:color="000000" w:fill="000000"/>
      </w:tcPr>
    </w:tblStylePr>
    <w:tblStylePr w:type="lastCol">
      <w:rPr>
        <w:b/>
        <w:color w:val="404040"/>
      </w:rPr>
    </w:tblStylePr>
    <w:tblStylePr w:type="lastRow">
      <w:rPr>
        <w:b/>
        <w:color w:val="404040"/>
      </w:rPr>
    </w:tblStylePr>
  </w:style>
  <w:style w:type="table" w:styleId="944" w:customStyle="1">
    <w:name w:val="清单表 31"/>
    <w:basedOn w:val="681"/>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黑体" w:hAnsi="黑体"/>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黑体" w:hAnsi="黑体"/>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黑体" w:hAnsi="黑体"/>
        <w:b/>
        <w:color w:val="ffffff"/>
        <w:sz w:val="22"/>
      </w:rPr>
      <w:tcPr>
        <w:shd w:val="clear" w:color="000000" w:fill="000000"/>
      </w:tcPr>
    </w:tblStylePr>
    <w:tblStylePr w:type="lastCol">
      <w:rPr>
        <w:b/>
        <w:color w:val="404040"/>
      </w:rPr>
    </w:tblStylePr>
    <w:tblStylePr w:type="lastRow">
      <w:rPr>
        <w:b/>
        <w:color w:val="404040"/>
      </w:rPr>
    </w:tblStylePr>
  </w:style>
  <w:style w:type="table" w:styleId="945" w:customStyle="1">
    <w:name w:val="网格表 7 彩色1"/>
    <w:basedOn w:val="681"/>
    <w:uiPriority w:val="99"/>
    <w:qFormat/>
    <w:tblPr>
      <w:tblBorders>
        <w:bottom w:val="single" w:color="7E7E7E" w:sz="4" w:space="0"/>
        <w:right w:val="single" w:color="7E7E7E" w:sz="4" w:space="0"/>
        <w:insideH w:val="single" w:color="7E7E7E" w:sz="4" w:space="0"/>
        <w:insideV w:val="single" w:color="7E7E7E" w:sz="4" w:space="0"/>
      </w:tblBorders>
      <w:tblCellMar>
        <w:left w:w="0" w:type="dxa"/>
        <w:right w:w="0" w:type="dxa"/>
      </w:tblCellMar>
    </w:tblPr>
    <w:tblStylePr w:type="band1Horz">
      <w:rPr>
        <w:rFonts w:ascii="黑体" w:hAnsi="黑体"/>
        <w:color w:val="808080"/>
        <w:sz w:val="22"/>
      </w:rPr>
      <w:tcPr>
        <w:shd w:val="clear" w:color="f1f1f1" w:fill="f1f1f1"/>
      </w:tcPr>
    </w:tblStylePr>
    <w:tblStylePr w:type="band1Vert">
      <w:tcPr>
        <w:shd w:val="clear" w:color="f1f1f1" w:fill="f1f1f1"/>
      </w:tcPr>
    </w:tblStylePr>
    <w:tblStylePr w:type="band2Horz">
      <w:rPr>
        <w:rFonts w:ascii="黑体" w:hAnsi="黑体"/>
        <w:color w:val="808080"/>
        <w:sz w:val="22"/>
      </w:rPr>
    </w:tblStylePr>
    <w:tblStylePr w:type="firstCol">
      <w:rPr>
        <w:rFonts w:ascii="黑体" w:hAnsi="黑体"/>
        <w:i/>
        <w:color w:val="808080"/>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黑体" w:hAnsi="黑体"/>
        <w:b/>
        <w:color w:val="808080"/>
        <w:sz w:val="22"/>
      </w:rPr>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rFonts w:ascii="黑体" w:hAnsi="黑体"/>
        <w:i/>
        <w:color w:val="808080"/>
        <w:sz w:val="22"/>
      </w:rPr>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rPr>
        <w:rFonts w:ascii="黑体" w:hAnsi="黑体"/>
        <w:b/>
        <w:color w:val="808080"/>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6" w:customStyle="1">
    <w:name w:val="网格表 5 深色1"/>
    <w:basedOn w:val="68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fill="898989"/>
      </w:tcPr>
    </w:tblStylePr>
    <w:tblStylePr w:type="band1Vert">
      <w:tcPr>
        <w:shd w:val="clear" w:color="898989" w:fill="898989"/>
      </w:tcPr>
    </w:tblStylePr>
    <w:tblStylePr w:type="firstCol">
      <w:rPr>
        <w:rFonts w:ascii="黑体" w:hAnsi="黑体"/>
        <w:b/>
        <w:color w:val="ffffff"/>
        <w:sz w:val="22"/>
      </w:rPr>
      <w:tcPr>
        <w:shd w:val="clear" w:color="000000" w:fill="000000"/>
      </w:tcPr>
    </w:tblStylePr>
    <w:tblStylePr w:type="firstRow">
      <w:rPr>
        <w:rFonts w:ascii="黑体" w:hAnsi="黑体"/>
        <w:b/>
        <w:color w:val="ffffff"/>
        <w:sz w:val="22"/>
      </w:rPr>
      <w:tcPr>
        <w:shd w:val="clear" w:color="000000" w:fill="000000"/>
      </w:tcPr>
    </w:tblStylePr>
    <w:tblStylePr w:type="lastCol">
      <w:rPr>
        <w:rFonts w:ascii="黑体" w:hAnsi="黑体"/>
        <w:b/>
        <w:color w:val="ffffff"/>
        <w:sz w:val="22"/>
      </w:rPr>
      <w:tcPr>
        <w:shd w:val="clear" w:color="000000" w:fill="000000"/>
      </w:tcPr>
    </w:tblStylePr>
    <w:tblStylePr w:type="lastRow">
      <w:rPr>
        <w:rFonts w:ascii="黑体" w:hAnsi="黑体"/>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7" w:customStyle="1">
    <w:name w:val="网格表 31"/>
    <w:basedOn w:val="681"/>
    <w:uiPriority w:val="99"/>
    <w:qFormat/>
    <w:tblPr>
      <w:tblBorders>
        <w:bottom w:val="single" w:color="696969" w:sz="4" w:space="0"/>
        <w:insideH w:val="single" w:color="696969" w:sz="4" w:space="0"/>
        <w:insideV w:val="single" w:color="696969" w:sz="4" w:space="0"/>
      </w:tblBorders>
      <w:tblCellMar>
        <w:left w:w="0" w:type="dxa"/>
        <w:right w:w="0" w:type="dxa"/>
      </w:tblCellMar>
    </w:tblPr>
    <w:tblStylePr w:type="band1Horz">
      <w:rPr>
        <w:rFonts w:ascii="黑体" w:hAnsi="黑体"/>
        <w:color w:val="404040"/>
        <w:sz w:val="22"/>
      </w:rPr>
      <w:tcPr>
        <w:shd w:val="clear" w:color="cacaca" w:fill="cacaca"/>
      </w:tcPr>
    </w:tblStylePr>
    <w:tblStylePr w:type="band1Vert">
      <w:rPr>
        <w:rFonts w:ascii="黑体" w:hAnsi="黑体"/>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9" w:customStyle="1">
    <w:name w:val="网格表 21"/>
    <w:basedOn w:val="681"/>
    <w:uiPriority w:val="99"/>
    <w:qFormat/>
    <w:tblPr>
      <w:tblBorders>
        <w:bottom w:val="single" w:color="696969" w:sz="4" w:space="0"/>
        <w:insideH w:val="single" w:color="696969" w:sz="4" w:space="0"/>
        <w:insideV w:val="single" w:color="696969" w:sz="4" w:space="0"/>
      </w:tblBorders>
      <w:tblCellMar>
        <w:left w:w="0" w:type="dxa"/>
        <w:right w:w="0" w:type="dxa"/>
      </w:tblCellMar>
    </w:tblPr>
    <w:tblStylePr w:type="band1Horz">
      <w:rPr>
        <w:rFonts w:ascii="黑体" w:hAnsi="黑体"/>
        <w:color w:val="404040"/>
        <w:sz w:val="22"/>
      </w:rPr>
      <w:tcPr>
        <w:shd w:val="clear" w:color="cacaca" w:fill="cacaca"/>
      </w:tcPr>
    </w:tblStylePr>
    <w:tblStylePr w:type="band1Vert">
      <w:rPr>
        <w:rFonts w:ascii="黑体" w:hAnsi="黑体"/>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0" w:customStyle="1">
    <w:name w:val="网格表 1 浅色1"/>
    <w:basedOn w:val="68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right w:w="0" w:type="dxa"/>
      </w:tblCellMar>
    </w:tblPr>
    <w:tblStylePr w:type="band1Horz">
      <w:rPr>
        <w:rFonts w:ascii="黑体" w:hAnsi="黑体"/>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1" w:customStyle="1">
    <w:name w:val="无格式表格 41"/>
    <w:basedOn w:val="681"/>
    <w:uiPriority w:val="99"/>
    <w:qFormat/>
    <w:tblPr>
      <w:tblCellMar>
        <w:left w:w="0" w:type="dxa"/>
        <w:right w:w="0" w:type="dxa"/>
      </w:tblCellMar>
    </w:tblPr>
    <w:tblStylePr w:type="band1Horz">
      <w:rPr>
        <w:rFonts w:ascii="黑体" w:hAnsi="黑体"/>
        <w:color w:val="404040"/>
        <w:sz w:val="22"/>
      </w:rPr>
      <w:tcPr>
        <w:shd w:val="clear" w:color="f1f1f1" w:fill="f1f1f1"/>
      </w:tcPr>
    </w:tblStylePr>
    <w:tblStylePr w:type="band1Vert">
      <w:rPr>
        <w:rFonts w:ascii="黑体" w:hAnsi="黑体"/>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2" w:customStyle="1">
    <w:name w:val="无格式表格 31"/>
    <w:basedOn w:val="681"/>
    <w:uiPriority w:val="99"/>
    <w:qFormat/>
    <w:tblPr>
      <w:tblCellMar>
        <w:left w:w="0" w:type="dxa"/>
        <w:right w:w="0" w:type="dxa"/>
      </w:tblCellMar>
    </w:tblPr>
    <w:tblStylePr w:type="band1Horz">
      <w:rPr>
        <w:rFonts w:ascii="黑体" w:hAnsi="黑体"/>
        <w:color w:val="404040"/>
        <w:sz w:val="22"/>
      </w:rPr>
      <w:tcPr>
        <w:shd w:val="clear" w:color="f1f1f1" w:fill="f1f1f1"/>
      </w:tcPr>
    </w:tblStylePr>
    <w:tblStylePr w:type="band1Vert">
      <w:rPr>
        <w:rFonts w:ascii="黑体" w:hAnsi="黑体"/>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953" w:customStyle="1">
    <w:name w:val="无格式表格 21"/>
    <w:basedOn w:val="681"/>
    <w:uiPriority w:val="59"/>
    <w:qFormat/>
    <w:tblPr>
      <w:tblBorders>
        <w:top w:val="single" w:color="000000" w:sz="4" w:space="0"/>
        <w:bottom w:val="single" w:color="000000" w:sz="4" w:space="0"/>
      </w:tblBorders>
    </w:tblPr>
    <w:tblStylePr w:type="band1Horz">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黑体" w:hAnsi="黑体"/>
        <w:b/>
        <w:color w:val="404040"/>
        <w:sz w:val="22"/>
      </w:rPr>
    </w:tblStylePr>
    <w:tblStylePr w:type="firstRow">
      <w:rPr>
        <w:rFonts w:ascii="黑体" w:hAnsi="黑体"/>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黑体" w:hAnsi="黑体"/>
        <w:b/>
        <w:color w:val="404040"/>
        <w:sz w:val="22"/>
      </w:rPr>
    </w:tblStylePr>
    <w:tblStylePr w:type="lastRow">
      <w:rPr>
        <w:rFonts w:ascii="黑体" w:hAnsi="黑体"/>
        <w:b/>
        <w:color w:val="404040"/>
        <w:sz w:val="22"/>
      </w:rPr>
    </w:tblStylePr>
  </w:style>
  <w:style w:type="table" w:styleId="954" w:customStyle="1">
    <w:name w:val="无格式表格 11"/>
    <w:basedOn w:val="68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黑体" w:hAnsi="黑体"/>
        <w:b/>
        <w:color w:val="404040"/>
        <w:sz w:val="22"/>
      </w:rPr>
    </w:tblStylePr>
    <w:tblStylePr w:type="firstRow">
      <w:rPr>
        <w:rFonts w:ascii="黑体" w:hAnsi="黑体"/>
        <w:b/>
        <w:color w:val="404040"/>
        <w:sz w:val="22"/>
      </w:rPr>
    </w:tblStylePr>
    <w:tblStylePr w:type="lastCol">
      <w:rPr>
        <w:rFonts w:ascii="黑体" w:hAnsi="黑体"/>
        <w:b/>
        <w:color w:val="404040"/>
        <w:sz w:val="22"/>
      </w:rPr>
    </w:tblStylePr>
    <w:tblStylePr w:type="lastRow">
      <w:rPr>
        <w:rFonts w:ascii="黑体" w:hAnsi="黑体"/>
        <w:b/>
        <w:color w:val="404040"/>
        <w:sz w:val="22"/>
      </w:rPr>
    </w:tblStylePr>
  </w:style>
  <w:style w:type="table" w:styleId="955" w:customStyle="1">
    <w:name w:val="_Style 255"/>
    <w:basedOn w:val="681"/>
    <w:uiPriority w:val="99"/>
    <w:qFormat/>
    <w:tblPr>
      <w:tblBorders>
        <w:top w:val="single" w:color="000000" w:sz="4" w:space="0"/>
        <w:bottom w:val="single" w:color="000000" w:sz="4" w:space="0"/>
      </w:tblBorders>
    </w:tblPr>
    <w:tblStylePr w:type="band1Horz">
      <w:rPr>
        <w:rFonts w:ascii="黑体" w:hAnsi="黑体"/>
        <w:color w:val="000000"/>
        <w:sz w:val="22"/>
      </w:rPr>
      <w:tcPr>
        <w:shd w:val="clear" w:color="ffffff" w:fill="bfbfbf"/>
      </w:tcPr>
    </w:tblStylePr>
    <w:tblStylePr w:type="band1Vert">
      <w:tcPr>
        <w:shd w:val="clear" w:color="ffffff" w:fill="bfbfbf"/>
      </w:tcPr>
    </w:tblStylePr>
    <w:tblStylePr w:type="band2Horz">
      <w:rPr>
        <w:rFonts w:ascii="黑体" w:hAnsi="黑体"/>
        <w:color w:val="000000"/>
        <w:sz w:val="22"/>
      </w:rPr>
    </w:tblStylePr>
    <w:tblStylePr w:type="firstCol">
      <w:rPr>
        <w:b/>
        <w:color w:val="000000"/>
      </w:rPr>
    </w:tblStylePr>
    <w:tblStylePr w:type="firstRow">
      <w:rPr>
        <w:b/>
        <w:color w:val="00000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6" w:customStyle="1">
    <w:name w:val="_Style 256"/>
    <w:basedOn w:val="68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黑体" w:hAnsi="黑体"/>
        <w:color w:val="404040"/>
        <w:sz w:val="22"/>
      </w:rPr>
      <w:tcPr>
        <w:shd w:val="clear" w:color="ffffff" w:fill="bfbfbf"/>
      </w:tcPr>
    </w:tblStylePr>
    <w:tblStylePr w:type="band1Vert">
      <w:rPr>
        <w:rFonts w:ascii="黑体" w:hAnsi="黑体"/>
        <w:color w:val="404040"/>
        <w:sz w:val="22"/>
      </w:rPr>
      <w:tcPr>
        <w:shd w:val="clear" w:color="ffffff" w:fill="bfbfbf"/>
      </w:tcPr>
    </w:tblStylePr>
    <w:tblStylePr w:type="firstCol">
      <w:rPr>
        <w:b/>
        <w:color w:val="404040"/>
      </w:rPr>
    </w:tblStylePr>
    <w:tblStylePr w:type="firstRow">
      <w:rPr>
        <w:rFonts w:ascii="黑体" w:hAnsi="黑体"/>
        <w:b/>
        <w:color w:val="ffffff"/>
        <w:sz w:val="22"/>
      </w:rPr>
      <w:tcPr>
        <w:shd w:val="clear" w:color="ffffff" w:fill="000000"/>
      </w:tcPr>
    </w:tblStylePr>
    <w:tblStylePr w:type="lastCol">
      <w:rPr>
        <w:b/>
        <w:color w:val="404040"/>
      </w:rPr>
    </w:tblStylePr>
    <w:tblStylePr w:type="lastRow">
      <w:rPr>
        <w:b/>
        <w:color w:val="404040"/>
      </w:rPr>
    </w:tblStylePr>
  </w:style>
  <w:style w:type="table" w:styleId="957"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style>
  <w:style w:type="table" w:styleId="958" w:customStyle="1">
    <w:name w:val="_Style 258"/>
    <w:basedOn w:val="681"/>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黑体" w:hAnsi="黑体"/>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黑体" w:hAnsi="黑体"/>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黑体" w:hAnsi="黑体"/>
        <w:b/>
        <w:color w:val="ffffff"/>
        <w:sz w:val="22"/>
      </w:rPr>
      <w:tcPr>
        <w:shd w:val="clear" w:color="ffffff" w:fill="000000"/>
      </w:tcPr>
    </w:tblStylePr>
    <w:tblStylePr w:type="lastCol">
      <w:rPr>
        <w:b/>
        <w:color w:val="404040"/>
      </w:rPr>
    </w:tblStylePr>
    <w:tblStylePr w:type="lastRow">
      <w:rPr>
        <w:b/>
        <w:color w:val="404040"/>
      </w:rPr>
    </w:tblStylePr>
  </w:style>
  <w:style w:type="table" w:styleId="959" w:customStyle="1">
    <w:name w:val="_Style 259"/>
    <w:basedOn w:val="681"/>
    <w:uiPriority w:val="99"/>
    <w:qFormat/>
    <w:tblPr>
      <w:tblBorders>
        <w:top w:val="single" w:color="000000" w:sz="4" w:space="0"/>
        <w:bottom w:val="single" w:color="000000" w:sz="4" w:space="0"/>
        <w:insideH w:val="single" w:color="000000" w:sz="4" w:space="0"/>
      </w:tblBorders>
    </w:tblPr>
    <w:tblStylePr w:type="band1Horz">
      <w:rPr>
        <w:rFonts w:ascii="黑体" w:hAnsi="黑体"/>
        <w:color w:val="404040"/>
        <w:sz w:val="22"/>
      </w:rPr>
      <w:tcPr>
        <w:shd w:val="clear" w:color="ffffff" w:fill="bfbfbf"/>
      </w:tcPr>
    </w:tblStylePr>
    <w:tblStylePr w:type="band1Vert">
      <w:rPr>
        <w:rFonts w:ascii="黑体" w:hAnsi="黑体"/>
        <w:color w:val="404040"/>
        <w:sz w:val="22"/>
      </w:rPr>
      <w:tcPr>
        <w:shd w:val="clear" w:color="ffffff" w:fill="bfbfbf"/>
      </w:tcPr>
    </w:tblStylePr>
    <w:tblStylePr w:type="firstCol">
      <w:rPr>
        <w:rFonts w:ascii="黑体" w:hAnsi="黑体"/>
        <w:b/>
        <w:color w:val="404040"/>
        <w:sz w:val="22"/>
      </w:rPr>
    </w:tblStylePr>
    <w:tblStylePr w:type="firstRow">
      <w:rPr>
        <w:rFonts w:ascii="黑体" w:hAnsi="黑体"/>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黑体" w:hAnsi="黑体"/>
        <w:b/>
        <w:color w:val="404040"/>
        <w:sz w:val="22"/>
      </w:rPr>
    </w:tblStylePr>
    <w:tblStylePr w:type="lastRow">
      <w:rPr>
        <w:rFonts w:ascii="黑体" w:hAnsi="黑体"/>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60" w:customStyle="1">
    <w:name w:val="_Style 260"/>
    <w:basedOn w:val="68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黑体" w:hAnsi="黑体"/>
        <w:color w:val="404040"/>
        <w:sz w:val="22"/>
      </w:rPr>
      <w:tcPr>
        <w:shd w:val="clear" w:color="ffffff" w:fill="cbcbcb"/>
      </w:tcPr>
    </w:tblStylePr>
    <w:tblStylePr w:type="band1Vert">
      <w:rPr>
        <w:rFonts w:ascii="黑体" w:hAnsi="黑体"/>
        <w:color w:val="404040"/>
        <w:sz w:val="22"/>
      </w:rPr>
      <w:tcPr>
        <w:shd w:val="clear" w:color="ffffff" w:fill="cbcbcb"/>
      </w:tcPr>
    </w:tblStylePr>
    <w:tblStylePr w:type="firstCol">
      <w:rPr>
        <w:b/>
        <w:color w:val="404040"/>
      </w:rPr>
    </w:tblStylePr>
    <w:tblStylePr w:type="firstRow">
      <w:rPr>
        <w:rFonts w:ascii="黑体" w:hAnsi="黑体"/>
        <w:b/>
        <w:color w:val="ffffff"/>
        <w:sz w:val="22"/>
      </w:rPr>
      <w:tcPr>
        <w:shd w:val="clear" w:color="ffffff"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1" w:customStyle="1">
    <w:name w:val="List Table 1 Light - Accent 4"/>
    <w:uiPriority w:val="99"/>
    <w:qFormat/>
    <w:tblPr>
      <w:tblCellMar>
        <w:left w:w="0" w:type="dxa"/>
        <w:top w:w="0" w:type="dxa"/>
        <w:right w:w="0" w:type="dxa"/>
        <w:bottom w:w="0" w:type="dxa"/>
      </w:tblCellMar>
    </w:tblPr>
  </w:style>
  <w:style w:type="table" w:styleId="962" w:customStyle="1">
    <w:name w:val="无格式表格 51"/>
    <w:basedOn w:val="681"/>
    <w:uiPriority w:val="99"/>
    <w:qFormat/>
    <w:tblPr>
      <w:tblCellMar>
        <w:left w:w="0" w:type="dxa"/>
        <w:right w:w="0" w:type="dxa"/>
      </w:tblCellMar>
    </w:tblPr>
    <w:tblStylePr w:type="band1Horz">
      <w:rPr>
        <w:rFonts w:ascii="黑体" w:hAnsi="黑体"/>
        <w:color w:val="404040"/>
        <w:sz w:val="22"/>
      </w:rPr>
      <w:tcPr>
        <w:shd w:val="clear" w:color="f1f1f1" w:fill="f1f1f1"/>
      </w:tcPr>
    </w:tblStylePr>
    <w:tblStylePr w:type="band1Vert">
      <w:rPr>
        <w:rFonts w:ascii="黑体" w:hAnsi="黑体"/>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3" w:customStyle="1">
    <w:name w:val="_Style 263"/>
    <w:basedOn w:val="681"/>
    <w:uiPriority w:val="99"/>
    <w:qFormat/>
    <w:tblPr/>
    <w:tblStylePr w:type="band1Horz">
      <w:rPr>
        <w:rFonts w:ascii="黑体" w:hAnsi="黑体"/>
        <w:color w:val="404040"/>
        <w:sz w:val="22"/>
      </w:rPr>
      <w:tcPr>
        <w:shd w:val="clear" w:color="ffffff" w:fill="f2f2f2"/>
      </w:tcPr>
    </w:tblStylePr>
    <w:tblStylePr w:type="band1Vert">
      <w:rPr>
        <w:rFonts w:ascii="黑体" w:hAnsi="黑体"/>
        <w:color w:val="404040"/>
        <w:sz w:val="22"/>
      </w:rPr>
      <w:tcPr>
        <w:shd w:val="clear" w:color="ffffff" w:fill="f2f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4" w:customStyle="1">
    <w:name w:val="_Style 264"/>
    <w:basedOn w:val="681"/>
    <w:uiPriority w:val="99"/>
    <w:qFormat/>
    <w:tblPr/>
    <w:tblStylePr w:type="band1Horz">
      <w:rPr>
        <w:rFonts w:ascii="黑体" w:hAnsi="黑体"/>
        <w:color w:val="404040"/>
        <w:sz w:val="22"/>
      </w:rPr>
      <w:tcPr>
        <w:shd w:val="clear" w:color="ffffff" w:fill="f2f2f2"/>
      </w:tcPr>
    </w:tblStylePr>
    <w:tblStylePr w:type="band1Vert">
      <w:rPr>
        <w:rFonts w:ascii="黑体" w:hAnsi="黑体"/>
        <w:color w:val="404040"/>
        <w:sz w:val="22"/>
      </w:rPr>
      <w:tcPr>
        <w:shd w:val="clear" w:color="ffffff"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5" w:customStyle="1">
    <w:name w:val="_Style 265"/>
    <w:basedOn w:val="681"/>
    <w:uiPriority w:val="59"/>
    <w:qFormat/>
    <w:tblPr>
      <w:tblBorders>
        <w:top w:val="single" w:color="000000" w:sz="4" w:space="0"/>
        <w:bottom w:val="single" w:color="000000" w:sz="4" w:space="0"/>
      </w:tblBorders>
    </w:tblPr>
    <w:tblStylePr w:type="band1Horz">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黑体" w:hAnsi="黑体"/>
        <w:b/>
        <w:color w:val="404040"/>
        <w:sz w:val="22"/>
      </w:rPr>
    </w:tblStylePr>
    <w:tblStylePr w:type="firstRow">
      <w:rPr>
        <w:rFonts w:ascii="黑体" w:hAnsi="黑体"/>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黑体" w:hAnsi="黑体"/>
        <w:b/>
        <w:color w:val="404040"/>
        <w:sz w:val="22"/>
      </w:rPr>
    </w:tblStylePr>
    <w:tblStylePr w:type="lastRow">
      <w:rPr>
        <w:rFonts w:ascii="黑体" w:hAnsi="黑体"/>
        <w:b/>
        <w:color w:val="404040"/>
        <w:sz w:val="22"/>
      </w:rPr>
    </w:tblStylePr>
  </w:style>
  <w:style w:type="table" w:styleId="966" w:customStyle="1">
    <w:name w:val="_Style 266"/>
    <w:basedOn w:val="68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f2f2f2"/>
      </w:tcPr>
    </w:tblStylePr>
    <w:tblStylePr w:type="band1Vert">
      <w:tcPr>
        <w:shd w:val="clear" w:color="ffffff" w:fill="f2f2f2"/>
      </w:tcPr>
    </w:tblStylePr>
    <w:tblStylePr w:type="firstCol">
      <w:rPr>
        <w:rFonts w:ascii="黑体" w:hAnsi="黑体"/>
        <w:b/>
        <w:color w:val="404040"/>
        <w:sz w:val="22"/>
      </w:rPr>
    </w:tblStylePr>
    <w:tblStylePr w:type="firstRow">
      <w:rPr>
        <w:rFonts w:ascii="黑体" w:hAnsi="黑体"/>
        <w:b/>
        <w:color w:val="404040"/>
        <w:sz w:val="22"/>
      </w:rPr>
    </w:tblStylePr>
    <w:tblStylePr w:type="lastCol">
      <w:rPr>
        <w:rFonts w:ascii="黑体" w:hAnsi="黑体"/>
        <w:b/>
        <w:color w:val="404040"/>
        <w:sz w:val="22"/>
      </w:rPr>
    </w:tblStylePr>
    <w:tblStylePr w:type="lastRow">
      <w:rPr>
        <w:rFonts w:ascii="黑体" w:hAnsi="黑体"/>
        <w:b/>
        <w:color w:val="404040"/>
        <w:sz w:val="22"/>
      </w:rPr>
    </w:tblStylePr>
  </w:style>
  <w:style w:type="table" w:styleId="96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68" w:customStyle="1">
    <w:name w:val="网格表 41"/>
    <w:basedOn w:val="68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right w:w="0" w:type="dxa"/>
      </w:tblCellMar>
    </w:tblPr>
    <w:tblStylePr w:type="band1Horz">
      <w:rPr>
        <w:rFonts w:ascii="黑体" w:hAnsi="黑体"/>
        <w:color w:val="404040"/>
        <w:sz w:val="22"/>
      </w:rPr>
      <w:tcPr>
        <w:shd w:val="clear" w:color="cacaca" w:fill="cacaca"/>
      </w:tcPr>
    </w:tblStylePr>
    <w:tblStylePr w:type="band1Vert">
      <w:rPr>
        <w:rFonts w:ascii="黑体" w:hAnsi="黑体"/>
        <w:color w:val="404040"/>
        <w:sz w:val="22"/>
      </w:rPr>
      <w:tcPr>
        <w:shd w:val="clear" w:color="cacaca" w:fill="cacaca"/>
      </w:tcPr>
    </w:tblStylePr>
    <w:tblStylePr w:type="firstCol">
      <w:rPr>
        <w:b/>
        <w:color w:val="404040"/>
      </w:rPr>
    </w:tblStylePr>
    <w:tblStylePr w:type="firstRow">
      <w:rPr>
        <w:rFonts w:ascii="黑体" w:hAnsi="黑体"/>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70" w:customStyle="1">
    <w:name w:val="_Style 270"/>
    <w:basedOn w:val="68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黑体" w:hAnsi="黑体"/>
        <w:color w:val="404040"/>
        <w:sz w:val="22"/>
      </w:rPr>
      <w:tcPr>
        <w:shd w:val="clear" w:color="ffffff" w:fill="cbcbcb"/>
      </w:tcPr>
    </w:tblStylePr>
    <w:tblStylePr w:type="band1Vert">
      <w:tcPr>
        <w:shd w:val="clear" w:color="ffffff" w:fill="cbcbcb"/>
      </w:tcPr>
    </w:tblStylePr>
    <w:tblStylePr w:type="band2Horz">
      <w:rPr>
        <w:rFonts w:ascii="黑体" w:hAnsi="黑体"/>
        <w:color w:val="404040"/>
        <w:sz w:val="22"/>
      </w:rPr>
    </w:tblStylePr>
    <w:tblStylePr w:type="firstCol">
      <w:rPr>
        <w:b/>
        <w:color w:val="4a4a4a"/>
      </w:rPr>
    </w:tblStylePr>
    <w:tblStylePr w:type="firstRow">
      <w:rPr>
        <w:b/>
        <w:color w:val="4a4a4a"/>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a4a4a"/>
      </w:rPr>
    </w:tblStylePr>
    <w:tblStylePr w:type="lastRow">
      <w:rPr>
        <w:b/>
        <w:color w:val="4a4a4a"/>
      </w:rPr>
    </w:tblStylePr>
  </w:style>
  <w:style w:type="table" w:styleId="97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72" w:customStyle="1">
    <w:name w:val="Lined - Accent 3"/>
    <w:uiPriority w:val="99"/>
    <w:qFormat/>
    <w:rPr>
      <w:color w:val="404040"/>
    </w:rPr>
    <w:tblPr>
      <w:tblCellMar>
        <w:left w:w="0" w:type="dxa"/>
        <w:top w:w="0" w:type="dxa"/>
        <w:right w:w="0" w:type="dxa"/>
        <w:bottom w:w="0" w:type="dxa"/>
      </w:tblCellMar>
    </w:tblPr>
  </w:style>
  <w:style w:type="table" w:styleId="97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7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75" w:customStyle="1">
    <w:name w:val="_Style 275"/>
    <w:basedOn w:val="68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8a8a8a"/>
      </w:tcPr>
    </w:tblStylePr>
    <w:tblStylePr w:type="band1Vert">
      <w:tcPr>
        <w:shd w:val="clear" w:color="ffffff" w:fill="8a8a8a"/>
      </w:tcPr>
    </w:tblStylePr>
    <w:tblStylePr w:type="firstCol">
      <w:rPr>
        <w:rFonts w:ascii="黑体" w:hAnsi="黑体"/>
        <w:b/>
        <w:color w:val="ffffff"/>
        <w:sz w:val="22"/>
      </w:rPr>
      <w:tcPr>
        <w:shd w:val="clear" w:color="ffffff" w:fill="000000"/>
      </w:tcPr>
    </w:tblStylePr>
    <w:tblStylePr w:type="firstRow">
      <w:rPr>
        <w:rFonts w:ascii="黑体" w:hAnsi="黑体"/>
        <w:b/>
        <w:color w:val="ffffff"/>
        <w:sz w:val="22"/>
      </w:rPr>
      <w:tcPr>
        <w:shd w:val="clear" w:color="ffffff" w:fill="000000"/>
      </w:tcPr>
    </w:tblStylePr>
    <w:tblStylePr w:type="lastCol">
      <w:rPr>
        <w:rFonts w:ascii="黑体" w:hAnsi="黑体"/>
        <w:b/>
        <w:color w:val="ffffff"/>
        <w:sz w:val="22"/>
      </w:rPr>
      <w:tcPr>
        <w:shd w:val="clear" w:color="ffffff" w:fill="000000"/>
      </w:tcPr>
    </w:tblStylePr>
    <w:tblStylePr w:type="lastRow">
      <w:rPr>
        <w:rFonts w:ascii="黑体" w:hAnsi="黑体"/>
        <w:b/>
        <w:color w:val="ffffff"/>
        <w:sz w:val="22"/>
      </w:rPr>
      <w:tcPr>
        <w:shd w:val="clear" w:color="ffffff" w:fill="000000"/>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6"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style>
  <w:style w:type="table" w:styleId="977" w:customStyle="1">
    <w:name w:val="_Style 277"/>
    <w:basedOn w:val="681"/>
    <w:uiPriority w:val="99"/>
    <w:qFormat/>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7f7f7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7f7f7f"/>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7f7f7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黑体" w:hAnsi="黑体"/>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黑体" w:hAnsi="黑体"/>
        <w:b/>
        <w:color w:val="ffffff"/>
        <w:sz w:val="22"/>
      </w:rPr>
      <w:tcPr>
        <w:shd w:val="clear" w:color="ffffff" w:fill="7f7f7f"/>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黑体" w:hAnsi="黑体"/>
        <w:b/>
        <w:color w:val="ffffff"/>
        <w:sz w:val="22"/>
      </w:rPr>
    </w:tblStylePr>
  </w:style>
  <w:style w:type="table" w:styleId="978" w:customStyle="1">
    <w:name w:val="_Style 278"/>
    <w:basedOn w:val="681"/>
    <w:uiPriority w:val="99"/>
    <w:qFormat/>
    <w:tblPr>
      <w:tblBorders>
        <w:bottom w:val="single" w:color="000000" w:sz="4" w:space="0"/>
        <w:insideH w:val="single" w:color="000000" w:sz="4" w:space="0"/>
        <w:insideV w:val="single" w:color="000000" w:sz="4" w:space="0"/>
      </w:tblBorders>
    </w:tblPr>
    <w:tblStylePr w:type="band1Horz">
      <w:rPr>
        <w:rFonts w:ascii="黑体" w:hAnsi="黑体"/>
        <w:color w:val="404040"/>
        <w:sz w:val="22"/>
      </w:rPr>
      <w:tcPr>
        <w:shd w:val="clear" w:color="ffffff" w:fill="cbcbcb"/>
      </w:tcPr>
    </w:tblStylePr>
    <w:tblStylePr w:type="band1Vert">
      <w:rPr>
        <w:rFonts w:ascii="黑体" w:hAnsi="黑体"/>
        <w:color w:val="404040"/>
        <w:sz w:val="22"/>
      </w:rPr>
      <w:tcPr>
        <w:shd w:val="clear" w:color="ffffff"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9"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style>
  <w:style w:type="table" w:styleId="98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81"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style>
  <w:style w:type="table" w:styleId="98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8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85"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style>
  <w:style w:type="table" w:styleId="986" w:customStyle="1">
    <w:name w:val="_Style 286"/>
    <w:basedOn w:val="681"/>
    <w:uiPriority w:val="99"/>
    <w:qFormat/>
    <w:tblPr>
      <w:tblBorders>
        <w:right w:val="single" w:color="000000" w:sz="4" w:space="0"/>
      </w:tblBorders>
    </w:tblPr>
    <w:tblStylePr w:type="band1Horz">
      <w:rPr>
        <w:rFonts w:ascii="黑体" w:hAnsi="黑体"/>
        <w:color w:val="4a4a4a"/>
        <w:sz w:val="22"/>
      </w:rPr>
      <w:tcPr>
        <w:shd w:val="clear" w:color="ffffff" w:fill="bfbfbf"/>
      </w:tcPr>
    </w:tblStylePr>
    <w:tblStylePr w:type="band1Vert">
      <w:tcPr>
        <w:shd w:val="clear" w:color="ffffff" w:fill="bfbfbf"/>
      </w:tcPr>
    </w:tblStylePr>
    <w:tblStylePr w:type="band2Horz">
      <w:rPr>
        <w:rFonts w:ascii="黑体" w:hAnsi="黑体"/>
        <w:color w:val="4a4a4a"/>
        <w:sz w:val="22"/>
      </w:rPr>
    </w:tblStylePr>
    <w:tblStylePr w:type="firstCol">
      <w:rPr>
        <w:rFonts w:ascii="黑体" w:hAnsi="黑体"/>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黑体" w:hAnsi="黑体"/>
        <w:i/>
        <w:color w:val="4a4a4a"/>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黑体" w:hAnsi="黑体"/>
        <w:i/>
        <w:color w:val="4a4a4a"/>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黑体" w:hAnsi="黑体"/>
        <w:i/>
        <w:color w:val="4a4a4a"/>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7"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style>
  <w:style w:type="table" w:styleId="988"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style>
  <w:style w:type="table" w:styleId="98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90" w:customStyle="1">
    <w:name w:val="_Style 290"/>
    <w:basedOn w:val="681"/>
    <w:uiPriority w:val="99"/>
    <w:qFormat/>
    <w:tblPr>
      <w:tblBorders>
        <w:bottom w:val="single" w:color="000000" w:sz="4" w:space="0"/>
        <w:right w:val="single" w:color="000000" w:sz="4" w:space="0"/>
        <w:insideH w:val="single" w:color="000000" w:sz="4" w:space="0"/>
        <w:insideV w:val="single" w:color="000000" w:sz="4" w:space="0"/>
      </w:tblBorders>
    </w:tblPr>
    <w:tblStylePr w:type="band1Horz">
      <w:rPr>
        <w:rFonts w:ascii="黑体" w:hAnsi="黑体"/>
        <w:color w:val="4a4a4a"/>
        <w:sz w:val="22"/>
      </w:rPr>
      <w:tcPr>
        <w:shd w:val="clear" w:color="ffffff" w:fill="f2f2f2"/>
      </w:tcPr>
    </w:tblStylePr>
    <w:tblStylePr w:type="band1Vert">
      <w:tcPr>
        <w:shd w:val="clear" w:color="ffffff" w:fill="f2f2f2"/>
      </w:tcPr>
    </w:tblStylePr>
    <w:tblStylePr w:type="band2Horz">
      <w:rPr>
        <w:rFonts w:ascii="黑体" w:hAnsi="黑体"/>
        <w:color w:val="4a4a4a"/>
        <w:sz w:val="22"/>
      </w:rPr>
    </w:tblStylePr>
    <w:tblStylePr w:type="firstCol">
      <w:rPr>
        <w:rFonts w:ascii="黑体" w:hAnsi="黑体"/>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黑体" w:hAnsi="黑体"/>
        <w:b/>
        <w:color w:val="4a4a4a"/>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黑体" w:hAnsi="黑体"/>
        <w:i/>
        <w:color w:val="4a4a4a"/>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黑体" w:hAnsi="黑体"/>
        <w:b/>
        <w:color w:val="4a4a4a"/>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1"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992"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style>
  <w:style w:type="table" w:styleId="993" w:customStyle="1">
    <w:name w:val="清单表 21"/>
    <w:basedOn w:val="681"/>
    <w:uiPriority w:val="99"/>
    <w:qFormat/>
    <w:tblPr>
      <w:tblBorders>
        <w:top w:val="single" w:color="6E6E6E" w:sz="4" w:space="0"/>
        <w:bottom w:val="single" w:color="6E6E6E" w:sz="4" w:space="0"/>
        <w:insideH w:val="single" w:color="6E6E6E" w:sz="4" w:space="0"/>
      </w:tblBorders>
      <w:tblCellMar>
        <w:left w:w="0" w:type="dxa"/>
        <w:right w:w="0" w:type="dxa"/>
      </w:tblCellMar>
    </w:tblPr>
    <w:tblStylePr w:type="band1Horz">
      <w:rPr>
        <w:rFonts w:ascii="黑体" w:hAnsi="黑体"/>
        <w:color w:val="404040"/>
        <w:sz w:val="22"/>
      </w:rPr>
      <w:tcPr>
        <w:shd w:val="clear" w:color="bebebe" w:fill="bebebe"/>
      </w:tcPr>
    </w:tblStylePr>
    <w:tblStylePr w:type="band1Vert">
      <w:rPr>
        <w:rFonts w:ascii="黑体" w:hAnsi="黑体"/>
        <w:color w:val="404040"/>
        <w:sz w:val="22"/>
      </w:rPr>
      <w:tcPr>
        <w:shd w:val="clear" w:color="bebebe" w:fill="bebebe"/>
      </w:tcPr>
    </w:tblStylePr>
    <w:tblStylePr w:type="firstCol">
      <w:rPr>
        <w:rFonts w:ascii="黑体" w:hAnsi="黑体"/>
        <w:b/>
        <w:color w:val="404040"/>
        <w:sz w:val="22"/>
      </w:rPr>
    </w:tblStylePr>
    <w:tblStylePr w:type="firstRow">
      <w:rPr>
        <w:rFonts w:ascii="黑体" w:hAnsi="黑体"/>
        <w:b/>
        <w:color w:val="404040"/>
        <w:sz w:val="22"/>
      </w:rPr>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tblStylePr w:type="lastCol">
      <w:rPr>
        <w:rFonts w:ascii="黑体" w:hAnsi="黑体"/>
        <w:b/>
        <w:color w:val="404040"/>
        <w:sz w:val="22"/>
      </w:rPr>
    </w:tblStylePr>
    <w:tblStylePr w:type="lastRow">
      <w:rPr>
        <w:rFonts w:ascii="黑体" w:hAnsi="黑体"/>
        <w:b/>
        <w:color w:val="404040"/>
        <w:sz w:val="22"/>
      </w:rPr>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style>
  <w:style w:type="table" w:styleId="994" w:customStyle="1">
    <w:name w:val="_Style 294"/>
    <w:basedOn w:val="681"/>
    <w:uiPriority w:val="99"/>
    <w:qFormat/>
    <w:tblPr/>
    <w:tblStylePr w:type="band1Horz">
      <w:tcPr>
        <w:shd w:val="clear" w:color="ffffff" w:fill="bfbfbf"/>
      </w:tcPr>
    </w:tblStylePr>
    <w:tblStylePr w:type="band1Vert">
      <w:tcPr>
        <w:shd w:val="clear" w:color="ffffff" w:fill="bfbfbf"/>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5" w:customStyle="1">
    <w:name w:val="_Style 295"/>
    <w:basedOn w:val="68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黑体" w:hAnsi="黑体"/>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96" w:customStyle="1">
    <w:name w:val="网格表 6 彩色1"/>
    <w:basedOn w:val="68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right w:w="0" w:type="dxa"/>
      </w:tblCellMar>
    </w:tblPr>
    <w:tblStylePr w:type="band1Horz">
      <w:rPr>
        <w:rFonts w:ascii="黑体" w:hAnsi="黑体"/>
        <w:color w:val="808080"/>
        <w:sz w:val="22"/>
      </w:rPr>
      <w:tcPr>
        <w:shd w:val="clear" w:color="cacaca" w:fill="cacaca"/>
      </w:tcPr>
    </w:tblStylePr>
    <w:tblStylePr w:type="band1Vert">
      <w:tcPr>
        <w:shd w:val="clear" w:color="cacaca" w:fill="cacaca"/>
      </w:tcPr>
    </w:tblStylePr>
    <w:tblStylePr w:type="band2Horz">
      <w:rPr>
        <w:rFonts w:ascii="黑体" w:hAnsi="黑体"/>
        <w:color w:val="808080"/>
        <w:sz w:val="22"/>
      </w:rPr>
    </w:tblStylePr>
    <w:tblStylePr w:type="firstCol">
      <w:rPr>
        <w:b/>
        <w:color w:val="808080"/>
      </w:rPr>
    </w:tblStylePr>
    <w:tblStylePr w:type="firstRow">
      <w:rPr>
        <w:b/>
        <w:color w:val="808080"/>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Col">
      <w:rPr>
        <w:b/>
        <w:color w:val="808080"/>
      </w:rPr>
    </w:tblStylePr>
    <w:tblStylePr w:type="lastRow">
      <w:rPr>
        <w:b/>
        <w:color w:val="808080"/>
      </w:rPr>
    </w:tblStylePr>
  </w:style>
  <w:style w:type="table" w:styleId="997" w:customStyle="1">
    <w:name w:val="Lined - Accent 4"/>
    <w:uiPriority w:val="99"/>
    <w:qFormat/>
    <w:rPr>
      <w:color w:val="404040"/>
    </w:rPr>
    <w:tblPr>
      <w:tblCellMar>
        <w:left w:w="0" w:type="dxa"/>
        <w:top w:w="0" w:type="dxa"/>
        <w:right w:w="0" w:type="dxa"/>
        <w:bottom w:w="0" w:type="dxa"/>
      </w:tblCellMar>
    </w:tblPr>
  </w:style>
  <w:style w:type="table" w:styleId="99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9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0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1" w:customStyle="1">
    <w:name w:val="_Style 301"/>
    <w:basedOn w:val="681"/>
    <w:uiPriority w:val="99"/>
    <w:qFormat/>
    <w:tblPr/>
    <w:tblStylePr w:type="band1Horz">
      <w:rPr>
        <w:rFonts w:ascii="黑体" w:hAnsi="黑体"/>
        <w:color w:val="404040"/>
        <w:sz w:val="22"/>
      </w:rPr>
      <w:tcPr>
        <w:shd w:val="clear" w:color="ffffff" w:fill="f2f2f2"/>
      </w:tcPr>
    </w:tblStylePr>
    <w:tblStylePr w:type="band1Vert">
      <w:rPr>
        <w:rFonts w:ascii="黑体" w:hAnsi="黑体"/>
        <w:color w:val="404040"/>
        <w:sz w:val="22"/>
      </w:rPr>
      <w:tcPr>
        <w:shd w:val="clear" w:color="ffffff"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1002"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1003" w:customStyle="1">
    <w:name w:val="_Style 303"/>
    <w:basedOn w:val="681"/>
    <w:uiPriority w:val="99"/>
    <w:qFormat/>
    <w:tblPr>
      <w:tblBorders>
        <w:bottom w:val="single" w:color="000000" w:sz="4" w:space="0"/>
        <w:insideH w:val="single" w:color="000000" w:sz="4" w:space="0"/>
        <w:insideV w:val="single" w:color="000000" w:sz="4" w:space="0"/>
      </w:tblBorders>
    </w:tblPr>
    <w:tblStylePr w:type="band1Horz">
      <w:rPr>
        <w:rFonts w:ascii="黑体" w:hAnsi="黑体"/>
        <w:color w:val="404040"/>
        <w:sz w:val="22"/>
      </w:rPr>
      <w:tcPr>
        <w:shd w:val="clear" w:color="ffffff" w:fill="cbcbcb"/>
      </w:tcPr>
    </w:tblStylePr>
    <w:tblStylePr w:type="band1Vert">
      <w:rPr>
        <w:rFonts w:ascii="黑体" w:hAnsi="黑体"/>
        <w:color w:val="404040"/>
        <w:sz w:val="22"/>
      </w:rPr>
      <w:tcPr>
        <w:shd w:val="clear" w:color="ffffff" w:fill="cbcbc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05" w:customStyle="1">
    <w:name w:val="清单表 1 浅色1"/>
    <w:basedOn w:val="681"/>
    <w:uiPriority w:val="99"/>
    <w:qFormat/>
    <w:tblPr>
      <w:tblCellMar>
        <w:left w:w="0" w:type="dxa"/>
        <w:right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6"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style>
  <w:style w:type="table" w:styleId="1007"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style>
  <w:style w:type="table" w:styleId="1008"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100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1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1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1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character" w:styleId="1013" w:customStyle="1">
    <w:name w:val="15"/>
    <w:uiPriority w:val="0"/>
    <w:qFormat/>
    <w:rPr>
      <w:rFonts w:hint="default" w:ascii="Times New Roman" w:hAnsi="Times New Roman" w:cs="Times New Roman"/>
    </w:rPr>
  </w:style>
  <w:style w:type="paragraph" w:styleId="1014" w:customStyle="1">
    <w:name w:val="_Style 314"/>
    <w:uiPriority w:val="99"/>
    <w:unhideWhenUsed/>
    <w:qFormat/>
    <w:rPr>
      <w:rFonts w:hint="default" w:ascii="Times New Roman" w:hAnsi="Times New Roman" w:eastAsia="宋体" w:cs="Times New Roman"/>
      <w:sz w:val="21"/>
      <w:szCs w:val="22"/>
      <w:lang w:val="en-US" w:eastAsia="zh-CN" w:bidi="ar-SA"/>
    </w:rPr>
  </w:style>
  <w:style w:type="paragraph" w:styleId="1015" w:customStyle="1">
    <w:name w:val="Revision"/>
    <w:hidden/>
    <w:uiPriority w:val="99"/>
    <w:unhideWhenUsed/>
    <w:qFormat/>
    <w:rPr>
      <w:rFonts w:hint="default" w:ascii="Times New Roman" w:hAnsi="Times New Roman" w:eastAsia="宋体" w:cs="Times New Roman"/>
      <w:sz w:val="21"/>
      <w:szCs w:val="22"/>
      <w:lang w:val="en-US" w:eastAsia="zh-CN" w:bidi="ar-SA"/>
    </w:rPr>
  </w:style>
  <w:style w:type="numbering" w:styleId="119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dynabook</dc:creator>
  <cp:lastModifiedBy>邵赞瑜</cp:lastModifiedBy>
  <cp:revision>13</cp:revision>
  <dcterms:created xsi:type="dcterms:W3CDTF">2025-11-03T02:10:00Z</dcterms:created>
  <dcterms:modified xsi:type="dcterms:W3CDTF">2026-05-25T03:22:10Z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1512966E35D542D396F6D1D113F9C959_13</vt:lpwstr>
  </property>
  <property fmtid="{D5CDD505-2E9C-101B-9397-08002B2CF9AE}" pid="3" name="KSOProductBuildVer">
    <vt:lpwstr>2052-12.1.0.26375</vt:lpwstr>
  </property>
  <property fmtid="{D5CDD505-2E9C-101B-9397-08002B2CF9AE}" pid="4" name="KSOTemplateDocerSaveRecord">
    <vt:lpwstr>eyJoZGlkIjoiZmZmNjBkMDI5OTBhZTBiMjZhYzVlMDdjMjc0MzY4YzEiLCJ1c2VySWQiOiI1NjU3MTYwNTkifQ==</vt:lpwstr>
  </property>
</Properties>
</file>